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50" w:rsidRPr="007A1D79" w:rsidRDefault="00C261B6" w:rsidP="00FB0D32">
      <w:pPr>
        <w:pStyle w:val="Pa0"/>
        <w:spacing w:line="240" w:lineRule="exact"/>
        <w:contextualSpacing/>
        <w:rPr>
          <w:color w:val="595959" w:themeColor="text1" w:themeTint="A6"/>
          <w:sz w:val="17"/>
          <w:szCs w:val="17"/>
        </w:rPr>
      </w:pPr>
      <w:bookmarkStart w:id="0" w:name="_GoBack"/>
      <w:bookmarkEnd w:id="0"/>
      <w:r>
        <w:rPr>
          <w:rStyle w:val="A0"/>
          <w:color w:val="595959" w:themeColor="text1" w:themeTint="A6"/>
          <w:sz w:val="17"/>
          <w:szCs w:val="17"/>
        </w:rPr>
        <w:tab/>
      </w:r>
      <w:r>
        <w:rPr>
          <w:rStyle w:val="A0"/>
          <w:color w:val="595959" w:themeColor="text1" w:themeTint="A6"/>
          <w:sz w:val="17"/>
          <w:szCs w:val="17"/>
        </w:rPr>
        <w:tab/>
      </w:r>
      <w:r>
        <w:rPr>
          <w:rStyle w:val="A0"/>
          <w:color w:val="595959" w:themeColor="text1" w:themeTint="A6"/>
          <w:sz w:val="17"/>
          <w:szCs w:val="17"/>
        </w:rPr>
        <w:tab/>
      </w:r>
      <w:r>
        <w:rPr>
          <w:rStyle w:val="A0"/>
          <w:color w:val="595959" w:themeColor="text1" w:themeTint="A6"/>
          <w:sz w:val="17"/>
          <w:szCs w:val="17"/>
        </w:rPr>
        <w:tab/>
      </w:r>
      <w:r>
        <w:rPr>
          <w:rStyle w:val="A0"/>
          <w:color w:val="595959" w:themeColor="text1" w:themeTint="A6"/>
          <w:sz w:val="17"/>
          <w:szCs w:val="17"/>
        </w:rPr>
        <w:tab/>
      </w:r>
      <w:r>
        <w:rPr>
          <w:rStyle w:val="A0"/>
          <w:color w:val="595959" w:themeColor="text1" w:themeTint="A6"/>
          <w:sz w:val="17"/>
          <w:szCs w:val="17"/>
        </w:rPr>
        <w:tab/>
      </w:r>
      <w:r>
        <w:rPr>
          <w:rStyle w:val="A0"/>
          <w:color w:val="595959" w:themeColor="text1" w:themeTint="A6"/>
          <w:sz w:val="17"/>
          <w:szCs w:val="17"/>
        </w:rPr>
        <w:tab/>
      </w:r>
      <w:r w:rsidR="00FB0D32">
        <w:rPr>
          <w:rStyle w:val="A0"/>
          <w:color w:val="595959" w:themeColor="text1" w:themeTint="A6"/>
          <w:sz w:val="17"/>
          <w:szCs w:val="17"/>
        </w:rPr>
        <w:tab/>
      </w:r>
    </w:p>
    <w:p w:rsidR="00B0630A" w:rsidRDefault="00B0630A" w:rsidP="00F60925">
      <w:pPr>
        <w:pStyle w:val="Default"/>
        <w:spacing w:line="240" w:lineRule="exact"/>
        <w:contextualSpacing/>
        <w:rPr>
          <w:color w:val="595959" w:themeColor="text1" w:themeTint="A6"/>
          <w:sz w:val="17"/>
          <w:szCs w:val="17"/>
        </w:rPr>
      </w:pPr>
    </w:p>
    <w:p w:rsidR="008F7671" w:rsidRDefault="008F7671" w:rsidP="00F60925">
      <w:pPr>
        <w:pStyle w:val="Default"/>
        <w:spacing w:line="240" w:lineRule="exact"/>
        <w:contextualSpacing/>
        <w:rPr>
          <w:color w:val="595959" w:themeColor="text1" w:themeTint="A6"/>
          <w:sz w:val="17"/>
          <w:szCs w:val="17"/>
        </w:rPr>
      </w:pPr>
    </w:p>
    <w:p w:rsidR="003C133C" w:rsidRPr="007A1D79" w:rsidRDefault="003C133C" w:rsidP="00F60925">
      <w:pPr>
        <w:pStyle w:val="Default"/>
        <w:spacing w:line="240" w:lineRule="exact"/>
        <w:contextualSpacing/>
        <w:rPr>
          <w:color w:val="595959" w:themeColor="text1" w:themeTint="A6"/>
          <w:sz w:val="17"/>
          <w:szCs w:val="17"/>
        </w:rPr>
      </w:pPr>
    </w:p>
    <w:p w:rsidR="0009779B" w:rsidRPr="006F5F54" w:rsidRDefault="009E2020" w:rsidP="009E2020">
      <w:pPr>
        <w:pStyle w:val="Default"/>
        <w:spacing w:line="240" w:lineRule="exact"/>
        <w:contextualSpacing/>
        <w:rPr>
          <w:b/>
          <w:color w:val="000000" w:themeColor="text1"/>
          <w:sz w:val="28"/>
          <w:szCs w:val="28"/>
        </w:rPr>
      </w:pPr>
      <w:r w:rsidRPr="006F5F54">
        <w:rPr>
          <w:b/>
          <w:color w:val="000000" w:themeColor="text1"/>
          <w:sz w:val="28"/>
          <w:szCs w:val="28"/>
        </w:rPr>
        <w:t>O</w:t>
      </w:r>
      <w:r w:rsidR="00C270C9">
        <w:rPr>
          <w:b/>
          <w:color w:val="000000" w:themeColor="text1"/>
          <w:sz w:val="28"/>
          <w:szCs w:val="28"/>
        </w:rPr>
        <w:t>pholdsbetaling for skoleåret 2020</w:t>
      </w:r>
      <w:r w:rsidRPr="006F5F54">
        <w:rPr>
          <w:b/>
          <w:color w:val="000000" w:themeColor="text1"/>
          <w:sz w:val="28"/>
          <w:szCs w:val="28"/>
        </w:rPr>
        <w:t>/20</w:t>
      </w:r>
      <w:r w:rsidR="00C270C9">
        <w:rPr>
          <w:b/>
          <w:color w:val="000000" w:themeColor="text1"/>
          <w:sz w:val="28"/>
          <w:szCs w:val="28"/>
        </w:rPr>
        <w:t>21</w:t>
      </w:r>
      <w:r w:rsidR="00C270C9">
        <w:rPr>
          <w:b/>
          <w:color w:val="000000" w:themeColor="text1"/>
          <w:sz w:val="28"/>
          <w:szCs w:val="28"/>
        </w:rPr>
        <w:tab/>
      </w:r>
      <w:r w:rsidRPr="006F5F54">
        <w:rPr>
          <w:b/>
          <w:color w:val="000000" w:themeColor="text1"/>
          <w:sz w:val="28"/>
          <w:szCs w:val="28"/>
        </w:rPr>
        <w:t xml:space="preserve"> </w:t>
      </w:r>
    </w:p>
    <w:p w:rsidR="009E2020" w:rsidRPr="006F5F54" w:rsidRDefault="0009779B" w:rsidP="009E2020">
      <w:pPr>
        <w:pStyle w:val="Default"/>
        <w:spacing w:line="240" w:lineRule="exact"/>
        <w:contextualSpacing/>
        <w:rPr>
          <w:b/>
          <w:color w:val="000000" w:themeColor="text1"/>
          <w:sz w:val="28"/>
          <w:szCs w:val="28"/>
        </w:rPr>
      </w:pPr>
      <w:r w:rsidRPr="006F5F54">
        <w:rPr>
          <w:b/>
          <w:color w:val="000000" w:themeColor="text1"/>
          <w:sz w:val="28"/>
          <w:szCs w:val="28"/>
        </w:rPr>
        <w:t xml:space="preserve">ved </w:t>
      </w:r>
      <w:r w:rsidR="009E2020" w:rsidRPr="006F5F54">
        <w:rPr>
          <w:b/>
          <w:color w:val="000000" w:themeColor="text1"/>
          <w:sz w:val="28"/>
          <w:szCs w:val="28"/>
        </w:rPr>
        <w:t>Sorø Akademis Skoles Kostafdeling</w:t>
      </w:r>
    </w:p>
    <w:p w:rsidR="009E2020" w:rsidRPr="00F01E92" w:rsidRDefault="009E2020" w:rsidP="009E2020">
      <w:pPr>
        <w:pStyle w:val="Default"/>
        <w:spacing w:line="240" w:lineRule="exact"/>
        <w:contextualSpacing/>
        <w:rPr>
          <w:rFonts w:ascii="Titillium WebRegular" w:hAnsi="Titillium WebRegular"/>
          <w:color w:val="7F7F7F" w:themeColor="text1" w:themeTint="80"/>
          <w:sz w:val="22"/>
          <w:szCs w:val="22"/>
        </w:rPr>
      </w:pPr>
    </w:p>
    <w:p w:rsidR="009E2020" w:rsidRPr="00C67980" w:rsidRDefault="009E2020" w:rsidP="00C67980">
      <w:pPr>
        <w:rPr>
          <w:rFonts w:ascii="Titillium Web" w:hAnsi="Titillium Web"/>
        </w:rPr>
      </w:pPr>
      <w:r w:rsidRPr="00C67980">
        <w:rPr>
          <w:rFonts w:ascii="Titillium Web" w:hAnsi="Titillium Web"/>
        </w:rPr>
        <w:t>Ophol</w:t>
      </w:r>
      <w:r w:rsidR="009D1DA9">
        <w:rPr>
          <w:rFonts w:ascii="Titillium Web" w:hAnsi="Titillium Web"/>
        </w:rPr>
        <w:t>dsafgiften udgør for alle kr. 50</w:t>
      </w:r>
      <w:r w:rsidRPr="00C67980">
        <w:rPr>
          <w:rFonts w:ascii="Titillium Web" w:hAnsi="Titillium Web"/>
        </w:rPr>
        <w:t>.000,- årligt. Idet dog</w:t>
      </w:r>
    </w:p>
    <w:p w:rsidR="009E2020" w:rsidRPr="00C67980" w:rsidRDefault="009E2020" w:rsidP="00C67980">
      <w:pPr>
        <w:rPr>
          <w:rFonts w:ascii="Titillium Web" w:hAnsi="Titillium Web"/>
        </w:rPr>
      </w:pPr>
      <w:r w:rsidRPr="00C67980">
        <w:rPr>
          <w:rFonts w:ascii="Titillium Web" w:hAnsi="Titillium Web"/>
        </w:rPr>
        <w:t>1. alle elever over 18 år kan søge støtte i form af SU (Statens Uddannelsesstøtte)</w:t>
      </w:r>
      <w:r w:rsidR="00F251BA" w:rsidRPr="00C67980">
        <w:rPr>
          <w:rFonts w:ascii="Titillium Web" w:hAnsi="Titillium Web"/>
        </w:rPr>
        <w:t>.</w:t>
      </w:r>
    </w:p>
    <w:p w:rsidR="009E2020" w:rsidRPr="00C67980" w:rsidRDefault="009E2020" w:rsidP="00C67980">
      <w:pPr>
        <w:rPr>
          <w:rFonts w:ascii="Titillium Web" w:hAnsi="Titillium Web"/>
        </w:rPr>
      </w:pPr>
      <w:r w:rsidRPr="00C67980">
        <w:rPr>
          <w:rFonts w:ascii="Titillium Web" w:hAnsi="Titillium Web"/>
        </w:rPr>
        <w:t>2. alle elever under 18 år med indkomstgrundlag under kr. 650.000,- får reduceret afgiften</w:t>
      </w:r>
      <w:r w:rsidR="0009779B" w:rsidRPr="00C67980">
        <w:rPr>
          <w:rFonts w:ascii="Titillium Web" w:hAnsi="Titillium Web"/>
        </w:rPr>
        <w:t xml:space="preserve"> </w:t>
      </w:r>
      <w:r w:rsidRPr="00C67980">
        <w:rPr>
          <w:rFonts w:ascii="Titillium Web" w:hAnsi="Titillium Web"/>
        </w:rPr>
        <w:t>med en elevstøtte, som gra</w:t>
      </w:r>
      <w:r w:rsidR="0009779B" w:rsidRPr="00C67980">
        <w:rPr>
          <w:rFonts w:ascii="Titillium Web" w:hAnsi="Titillium Web"/>
        </w:rPr>
        <w:t>dueres efter indkomstgrundlaget.</w:t>
      </w:r>
    </w:p>
    <w:p w:rsidR="009E2020" w:rsidRPr="00C67980" w:rsidRDefault="009E2020" w:rsidP="00C67980">
      <w:pPr>
        <w:rPr>
          <w:rFonts w:ascii="Titillium Web" w:hAnsi="Titillium Web"/>
        </w:rPr>
      </w:pPr>
      <w:r w:rsidRPr="00C67980">
        <w:rPr>
          <w:rFonts w:ascii="Titillium Web" w:hAnsi="Titillium Web"/>
        </w:rPr>
        <w:t>Indkomstintervaller for fastsættelse af støttebeløb til elever under 18 år:</w:t>
      </w:r>
    </w:p>
    <w:p w:rsidR="009E2020" w:rsidRPr="009E2020" w:rsidRDefault="009E2020" w:rsidP="009E2020">
      <w:pPr>
        <w:pStyle w:val="Default"/>
        <w:spacing w:line="240" w:lineRule="exact"/>
        <w:contextualSpacing/>
        <w:rPr>
          <w:rFonts w:ascii="Titillium WebRegular" w:hAnsi="Titillium WebRegular"/>
          <w:color w:val="7F7F7F" w:themeColor="text1" w:themeTint="80"/>
          <w:sz w:val="20"/>
          <w:szCs w:val="16"/>
        </w:rPr>
      </w:pPr>
    </w:p>
    <w:tbl>
      <w:tblPr>
        <w:tblW w:w="970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00" w:type="dxa"/>
          <w:right w:w="100" w:type="dxa"/>
        </w:tblCellMar>
        <w:tblLook w:val="0000" w:firstRow="0" w:lastRow="0" w:firstColumn="0" w:lastColumn="0" w:noHBand="0" w:noVBand="0"/>
      </w:tblPr>
      <w:tblGrid>
        <w:gridCol w:w="2160"/>
        <w:gridCol w:w="1276"/>
        <w:gridCol w:w="1418"/>
        <w:gridCol w:w="2160"/>
        <w:gridCol w:w="1276"/>
        <w:gridCol w:w="1417"/>
      </w:tblGrid>
      <w:tr w:rsidR="00C85EB5" w:rsidRPr="00C85EB5" w:rsidTr="00C67980">
        <w:trPr>
          <w:cantSplit/>
          <w:trHeight w:val="403"/>
          <w:jc w:val="center"/>
        </w:trPr>
        <w:tc>
          <w:tcPr>
            <w:tcW w:w="2160" w:type="dxa"/>
            <w:tcBorders>
              <w:top w:val="single" w:sz="12" w:space="0" w:color="auto"/>
              <w:left w:val="single" w:sz="12" w:space="0" w:color="auto"/>
              <w:bottom w:val="single" w:sz="12"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Indkomstgrundlag</w:t>
            </w:r>
          </w:p>
        </w:tc>
        <w:tc>
          <w:tcPr>
            <w:tcW w:w="1276" w:type="dxa"/>
            <w:tcBorders>
              <w:top w:val="single" w:sz="12" w:space="0" w:color="auto"/>
              <w:bottom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Støttebeløb</w:t>
            </w:r>
          </w:p>
        </w:tc>
        <w:tc>
          <w:tcPr>
            <w:tcW w:w="1418" w:type="dxa"/>
            <w:tcBorders>
              <w:top w:val="single" w:sz="12" w:space="0" w:color="auto"/>
              <w:bottom w:val="single" w:sz="12" w:space="0" w:color="auto"/>
              <w:right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Egenbetaling</w:t>
            </w:r>
          </w:p>
        </w:tc>
        <w:tc>
          <w:tcPr>
            <w:tcW w:w="2160" w:type="dxa"/>
            <w:tcBorders>
              <w:top w:val="single" w:sz="12" w:space="0" w:color="auto"/>
              <w:left w:val="single" w:sz="12" w:space="0" w:color="auto"/>
              <w:bottom w:val="single" w:sz="12"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Indkomstgrundlag</w:t>
            </w:r>
          </w:p>
        </w:tc>
        <w:tc>
          <w:tcPr>
            <w:tcW w:w="1276" w:type="dxa"/>
            <w:tcBorders>
              <w:top w:val="single" w:sz="12" w:space="0" w:color="auto"/>
              <w:bottom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Støttebeløb</w:t>
            </w:r>
          </w:p>
        </w:tc>
        <w:tc>
          <w:tcPr>
            <w:tcW w:w="1417" w:type="dxa"/>
            <w:tcBorders>
              <w:top w:val="single" w:sz="12" w:space="0" w:color="auto"/>
              <w:bottom w:val="single" w:sz="12" w:space="0" w:color="auto"/>
              <w:right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Egenbetaling</w:t>
            </w:r>
          </w:p>
        </w:tc>
      </w:tr>
      <w:tr w:rsidR="00C85EB5" w:rsidRPr="00C85EB5" w:rsidTr="00C67980">
        <w:trPr>
          <w:cantSplit/>
          <w:trHeight w:val="403"/>
          <w:jc w:val="center"/>
        </w:trPr>
        <w:tc>
          <w:tcPr>
            <w:tcW w:w="2160" w:type="dxa"/>
            <w:tcBorders>
              <w:top w:val="single" w:sz="12"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 xml:space="preserve"> 0 - 150.000</w:t>
            </w:r>
          </w:p>
        </w:tc>
        <w:tc>
          <w:tcPr>
            <w:tcW w:w="1276" w:type="dxa"/>
            <w:tcBorders>
              <w:top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27.000</w:t>
            </w:r>
          </w:p>
        </w:tc>
        <w:tc>
          <w:tcPr>
            <w:tcW w:w="1418" w:type="dxa"/>
            <w:tcBorders>
              <w:top w:val="single" w:sz="12" w:space="0" w:color="auto"/>
              <w:bottom w:val="single" w:sz="8" w:space="0" w:color="auto"/>
              <w:right w:val="single" w:sz="12" w:space="0" w:color="auto"/>
            </w:tcBorders>
            <w:vAlign w:val="center"/>
          </w:tcPr>
          <w:p w:rsidR="00F01E92" w:rsidRPr="00C85EB5" w:rsidRDefault="00F01E92" w:rsidP="009D1DA9">
            <w:pPr>
              <w:pStyle w:val="Default"/>
              <w:spacing w:line="240" w:lineRule="exact"/>
              <w:contextualSpacing/>
              <w:jc w:val="center"/>
              <w:rPr>
                <w:color w:val="000000" w:themeColor="text1"/>
                <w:sz w:val="18"/>
                <w:szCs w:val="18"/>
              </w:rPr>
            </w:pPr>
            <w:r w:rsidRPr="00C85EB5">
              <w:rPr>
                <w:color w:val="000000" w:themeColor="text1"/>
                <w:sz w:val="18"/>
                <w:szCs w:val="18"/>
              </w:rPr>
              <w:t>2</w:t>
            </w:r>
            <w:r w:rsidR="009D1DA9">
              <w:rPr>
                <w:color w:val="000000" w:themeColor="text1"/>
                <w:sz w:val="18"/>
                <w:szCs w:val="18"/>
              </w:rPr>
              <w:t>3</w:t>
            </w:r>
            <w:r w:rsidRPr="00C85EB5">
              <w:rPr>
                <w:color w:val="000000" w:themeColor="text1"/>
                <w:sz w:val="18"/>
                <w:szCs w:val="18"/>
              </w:rPr>
              <w:t>.000</w:t>
            </w:r>
          </w:p>
        </w:tc>
        <w:tc>
          <w:tcPr>
            <w:tcW w:w="2160" w:type="dxa"/>
            <w:tcBorders>
              <w:top w:val="single" w:sz="12"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400.000 - 450.000</w:t>
            </w:r>
          </w:p>
        </w:tc>
        <w:tc>
          <w:tcPr>
            <w:tcW w:w="1276" w:type="dxa"/>
            <w:tcBorders>
              <w:top w:val="single" w:sz="12"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11.500</w:t>
            </w:r>
          </w:p>
        </w:tc>
        <w:tc>
          <w:tcPr>
            <w:tcW w:w="1417" w:type="dxa"/>
            <w:tcBorders>
              <w:top w:val="single" w:sz="12" w:space="0" w:color="auto"/>
              <w:bottom w:val="single" w:sz="8" w:space="0" w:color="auto"/>
              <w:right w:val="single" w:sz="12" w:space="0" w:color="auto"/>
            </w:tcBorders>
            <w:vAlign w:val="center"/>
          </w:tcPr>
          <w:p w:rsidR="00F01E92" w:rsidRPr="00C85EB5" w:rsidRDefault="009D1DA9" w:rsidP="00F01E92">
            <w:pPr>
              <w:pStyle w:val="Default"/>
              <w:spacing w:line="240" w:lineRule="exact"/>
              <w:contextualSpacing/>
              <w:jc w:val="center"/>
              <w:rPr>
                <w:color w:val="000000" w:themeColor="text1"/>
                <w:sz w:val="18"/>
                <w:szCs w:val="18"/>
              </w:rPr>
            </w:pPr>
            <w:r>
              <w:rPr>
                <w:color w:val="000000" w:themeColor="text1"/>
                <w:sz w:val="18"/>
                <w:szCs w:val="18"/>
              </w:rPr>
              <w:t>38</w:t>
            </w:r>
            <w:r w:rsidR="00F01E92" w:rsidRPr="00C85EB5">
              <w:rPr>
                <w:color w:val="000000" w:themeColor="text1"/>
                <w:sz w:val="18"/>
                <w:szCs w:val="18"/>
              </w:rPr>
              <w:t>.500</w:t>
            </w:r>
          </w:p>
        </w:tc>
      </w:tr>
      <w:tr w:rsidR="00C85EB5" w:rsidRPr="00C85EB5" w:rsidTr="00C67980">
        <w:trPr>
          <w:cantSplit/>
          <w:trHeight w:val="403"/>
          <w:jc w:val="center"/>
        </w:trPr>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150.001 - 175.000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25.000</w:t>
            </w:r>
          </w:p>
        </w:tc>
        <w:tc>
          <w:tcPr>
            <w:tcW w:w="1418" w:type="dxa"/>
            <w:tcBorders>
              <w:top w:val="single" w:sz="8" w:space="0" w:color="auto"/>
              <w:bottom w:val="single" w:sz="8" w:space="0" w:color="auto"/>
              <w:right w:val="single" w:sz="12" w:space="0" w:color="auto"/>
            </w:tcBorders>
            <w:vAlign w:val="center"/>
          </w:tcPr>
          <w:p w:rsidR="00F01E92" w:rsidRPr="00C85EB5" w:rsidRDefault="009D1DA9" w:rsidP="00F01E92">
            <w:pPr>
              <w:pStyle w:val="Default"/>
              <w:spacing w:line="240" w:lineRule="exact"/>
              <w:contextualSpacing/>
              <w:jc w:val="center"/>
              <w:rPr>
                <w:color w:val="000000" w:themeColor="text1"/>
                <w:sz w:val="18"/>
                <w:szCs w:val="18"/>
              </w:rPr>
            </w:pPr>
            <w:r>
              <w:rPr>
                <w:color w:val="000000" w:themeColor="text1"/>
                <w:sz w:val="18"/>
                <w:szCs w:val="18"/>
              </w:rPr>
              <w:t>25</w:t>
            </w:r>
            <w:r w:rsidR="00F01E92" w:rsidRPr="00C85EB5">
              <w:rPr>
                <w:color w:val="000000" w:themeColor="text1"/>
                <w:sz w:val="18"/>
                <w:szCs w:val="18"/>
              </w:rPr>
              <w:t>.000</w:t>
            </w:r>
          </w:p>
        </w:tc>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450.001 - 500.000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9.000</w:t>
            </w:r>
          </w:p>
        </w:tc>
        <w:tc>
          <w:tcPr>
            <w:tcW w:w="1417" w:type="dxa"/>
            <w:tcBorders>
              <w:top w:val="single" w:sz="8" w:space="0" w:color="auto"/>
              <w:bottom w:val="single" w:sz="8" w:space="0" w:color="auto"/>
              <w:right w:val="single" w:sz="12" w:space="0" w:color="auto"/>
            </w:tcBorders>
            <w:vAlign w:val="center"/>
          </w:tcPr>
          <w:p w:rsidR="00F01E92" w:rsidRPr="00C85EB5" w:rsidRDefault="009D1DA9" w:rsidP="00F01E92">
            <w:pPr>
              <w:pStyle w:val="Default"/>
              <w:spacing w:line="240" w:lineRule="exact"/>
              <w:contextualSpacing/>
              <w:jc w:val="center"/>
              <w:rPr>
                <w:color w:val="000000" w:themeColor="text1"/>
                <w:sz w:val="18"/>
                <w:szCs w:val="18"/>
              </w:rPr>
            </w:pPr>
            <w:r>
              <w:rPr>
                <w:color w:val="000000" w:themeColor="text1"/>
                <w:sz w:val="18"/>
                <w:szCs w:val="18"/>
              </w:rPr>
              <w:t>41</w:t>
            </w:r>
            <w:r w:rsidR="00F01E92" w:rsidRPr="00C85EB5">
              <w:rPr>
                <w:color w:val="000000" w:themeColor="text1"/>
                <w:sz w:val="18"/>
                <w:szCs w:val="18"/>
              </w:rPr>
              <w:t>.000</w:t>
            </w:r>
          </w:p>
        </w:tc>
      </w:tr>
      <w:tr w:rsidR="00C85EB5" w:rsidRPr="00C85EB5" w:rsidTr="00C67980">
        <w:trPr>
          <w:cantSplit/>
          <w:trHeight w:val="403"/>
          <w:jc w:val="center"/>
        </w:trPr>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175.001 - 200.000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23.000</w:t>
            </w:r>
          </w:p>
        </w:tc>
        <w:tc>
          <w:tcPr>
            <w:tcW w:w="1418" w:type="dxa"/>
            <w:tcBorders>
              <w:top w:val="single" w:sz="8" w:space="0" w:color="auto"/>
              <w:bottom w:val="single" w:sz="8" w:space="0" w:color="auto"/>
              <w:right w:val="single" w:sz="12" w:space="0" w:color="auto"/>
            </w:tcBorders>
            <w:vAlign w:val="center"/>
          </w:tcPr>
          <w:p w:rsidR="00F01E92" w:rsidRPr="00C85EB5" w:rsidRDefault="00F01E92" w:rsidP="009D1DA9">
            <w:pPr>
              <w:pStyle w:val="Default"/>
              <w:spacing w:line="240" w:lineRule="exact"/>
              <w:contextualSpacing/>
              <w:jc w:val="center"/>
              <w:rPr>
                <w:color w:val="000000" w:themeColor="text1"/>
                <w:sz w:val="18"/>
                <w:szCs w:val="18"/>
              </w:rPr>
            </w:pPr>
            <w:r w:rsidRPr="00C85EB5">
              <w:rPr>
                <w:color w:val="000000" w:themeColor="text1"/>
                <w:sz w:val="18"/>
                <w:szCs w:val="18"/>
              </w:rPr>
              <w:t>2</w:t>
            </w:r>
            <w:r w:rsidR="009D1DA9">
              <w:rPr>
                <w:color w:val="000000" w:themeColor="text1"/>
                <w:sz w:val="18"/>
                <w:szCs w:val="18"/>
              </w:rPr>
              <w:t>7</w:t>
            </w:r>
            <w:r w:rsidRPr="00C85EB5">
              <w:rPr>
                <w:color w:val="000000" w:themeColor="text1"/>
                <w:sz w:val="18"/>
                <w:szCs w:val="18"/>
              </w:rPr>
              <w:t>.000</w:t>
            </w:r>
          </w:p>
        </w:tc>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500.001 - 550.000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6.500</w:t>
            </w:r>
          </w:p>
        </w:tc>
        <w:tc>
          <w:tcPr>
            <w:tcW w:w="1417" w:type="dxa"/>
            <w:tcBorders>
              <w:top w:val="single" w:sz="8" w:space="0" w:color="auto"/>
              <w:bottom w:val="single" w:sz="8" w:space="0" w:color="auto"/>
              <w:right w:val="single" w:sz="12" w:space="0" w:color="auto"/>
            </w:tcBorders>
            <w:vAlign w:val="center"/>
          </w:tcPr>
          <w:p w:rsidR="00F01E92" w:rsidRPr="00C85EB5" w:rsidRDefault="009D1DA9" w:rsidP="00F01E92">
            <w:pPr>
              <w:pStyle w:val="Default"/>
              <w:spacing w:line="240" w:lineRule="exact"/>
              <w:contextualSpacing/>
              <w:jc w:val="center"/>
              <w:rPr>
                <w:color w:val="000000" w:themeColor="text1"/>
                <w:sz w:val="18"/>
                <w:szCs w:val="18"/>
              </w:rPr>
            </w:pPr>
            <w:r>
              <w:rPr>
                <w:color w:val="000000" w:themeColor="text1"/>
                <w:sz w:val="18"/>
                <w:szCs w:val="18"/>
              </w:rPr>
              <w:t>43</w:t>
            </w:r>
            <w:r w:rsidR="00F01E92" w:rsidRPr="00C85EB5">
              <w:rPr>
                <w:color w:val="000000" w:themeColor="text1"/>
                <w:sz w:val="18"/>
                <w:szCs w:val="18"/>
              </w:rPr>
              <w:t>.500</w:t>
            </w:r>
          </w:p>
        </w:tc>
      </w:tr>
      <w:tr w:rsidR="00C85EB5" w:rsidRPr="00C85EB5" w:rsidTr="00C67980">
        <w:trPr>
          <w:cantSplit/>
          <w:trHeight w:val="403"/>
          <w:jc w:val="center"/>
        </w:trPr>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200.001 - 250.000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21.000</w:t>
            </w:r>
          </w:p>
        </w:tc>
        <w:tc>
          <w:tcPr>
            <w:tcW w:w="1418" w:type="dxa"/>
            <w:tcBorders>
              <w:top w:val="single" w:sz="8" w:space="0" w:color="auto"/>
              <w:bottom w:val="single" w:sz="8" w:space="0" w:color="auto"/>
              <w:right w:val="single" w:sz="12" w:space="0" w:color="auto"/>
            </w:tcBorders>
            <w:vAlign w:val="center"/>
          </w:tcPr>
          <w:p w:rsidR="00F01E92" w:rsidRPr="00C85EB5" w:rsidRDefault="00F01E92" w:rsidP="009D1DA9">
            <w:pPr>
              <w:pStyle w:val="Default"/>
              <w:spacing w:line="240" w:lineRule="exact"/>
              <w:contextualSpacing/>
              <w:jc w:val="center"/>
              <w:rPr>
                <w:color w:val="000000" w:themeColor="text1"/>
                <w:sz w:val="18"/>
                <w:szCs w:val="18"/>
              </w:rPr>
            </w:pPr>
            <w:r w:rsidRPr="00C85EB5">
              <w:rPr>
                <w:color w:val="000000" w:themeColor="text1"/>
                <w:sz w:val="18"/>
                <w:szCs w:val="18"/>
              </w:rPr>
              <w:t>2</w:t>
            </w:r>
            <w:r w:rsidR="009D1DA9">
              <w:rPr>
                <w:color w:val="000000" w:themeColor="text1"/>
                <w:sz w:val="18"/>
                <w:szCs w:val="18"/>
              </w:rPr>
              <w:t>9</w:t>
            </w:r>
            <w:r w:rsidRPr="00C85EB5">
              <w:rPr>
                <w:color w:val="000000" w:themeColor="text1"/>
                <w:sz w:val="18"/>
                <w:szCs w:val="18"/>
              </w:rPr>
              <w:t>.000</w:t>
            </w:r>
          </w:p>
        </w:tc>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550.001 - 600.000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4.000</w:t>
            </w:r>
          </w:p>
        </w:tc>
        <w:tc>
          <w:tcPr>
            <w:tcW w:w="1417" w:type="dxa"/>
            <w:tcBorders>
              <w:top w:val="single" w:sz="8" w:space="0" w:color="auto"/>
              <w:bottom w:val="single" w:sz="8" w:space="0" w:color="auto"/>
              <w:right w:val="single" w:sz="12" w:space="0" w:color="auto"/>
            </w:tcBorders>
            <w:vAlign w:val="center"/>
          </w:tcPr>
          <w:p w:rsidR="00F01E92" w:rsidRPr="00C85EB5" w:rsidRDefault="00F01E92" w:rsidP="009D1DA9">
            <w:pPr>
              <w:pStyle w:val="Default"/>
              <w:spacing w:line="240" w:lineRule="exact"/>
              <w:contextualSpacing/>
              <w:jc w:val="center"/>
              <w:rPr>
                <w:color w:val="000000" w:themeColor="text1"/>
                <w:sz w:val="18"/>
                <w:szCs w:val="18"/>
              </w:rPr>
            </w:pPr>
            <w:r w:rsidRPr="00C85EB5">
              <w:rPr>
                <w:color w:val="000000" w:themeColor="text1"/>
                <w:sz w:val="18"/>
                <w:szCs w:val="18"/>
              </w:rPr>
              <w:t>4</w:t>
            </w:r>
            <w:r w:rsidR="009D1DA9">
              <w:rPr>
                <w:color w:val="000000" w:themeColor="text1"/>
                <w:sz w:val="18"/>
                <w:szCs w:val="18"/>
              </w:rPr>
              <w:t>6</w:t>
            </w:r>
            <w:r w:rsidRPr="00C85EB5">
              <w:rPr>
                <w:color w:val="000000" w:themeColor="text1"/>
                <w:sz w:val="18"/>
                <w:szCs w:val="18"/>
              </w:rPr>
              <w:t>.000</w:t>
            </w:r>
          </w:p>
        </w:tc>
      </w:tr>
      <w:tr w:rsidR="00C85EB5" w:rsidRPr="00C85EB5" w:rsidTr="00C67980">
        <w:trPr>
          <w:cantSplit/>
          <w:trHeight w:val="403"/>
          <w:jc w:val="center"/>
        </w:trPr>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250.001 - 300.000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19.000</w:t>
            </w:r>
          </w:p>
        </w:tc>
        <w:tc>
          <w:tcPr>
            <w:tcW w:w="1418" w:type="dxa"/>
            <w:tcBorders>
              <w:top w:val="single" w:sz="8" w:space="0" w:color="auto"/>
              <w:bottom w:val="single" w:sz="8" w:space="0" w:color="auto"/>
              <w:right w:val="single" w:sz="12" w:space="0" w:color="auto"/>
            </w:tcBorders>
            <w:vAlign w:val="center"/>
          </w:tcPr>
          <w:p w:rsidR="00F01E92" w:rsidRPr="00C85EB5" w:rsidRDefault="009D1DA9" w:rsidP="009D1DA9">
            <w:pPr>
              <w:pStyle w:val="Default"/>
              <w:spacing w:line="240" w:lineRule="exact"/>
              <w:contextualSpacing/>
              <w:jc w:val="center"/>
              <w:rPr>
                <w:color w:val="000000" w:themeColor="text1"/>
                <w:sz w:val="18"/>
                <w:szCs w:val="18"/>
              </w:rPr>
            </w:pPr>
            <w:r>
              <w:rPr>
                <w:color w:val="000000" w:themeColor="text1"/>
                <w:sz w:val="18"/>
                <w:szCs w:val="18"/>
              </w:rPr>
              <w:t>31</w:t>
            </w:r>
            <w:r w:rsidR="00F01E92" w:rsidRPr="00C85EB5">
              <w:rPr>
                <w:color w:val="000000" w:themeColor="text1"/>
                <w:sz w:val="18"/>
                <w:szCs w:val="18"/>
              </w:rPr>
              <w:t>.000</w:t>
            </w:r>
          </w:p>
        </w:tc>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600.001 - 650.000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2.000</w:t>
            </w:r>
          </w:p>
        </w:tc>
        <w:tc>
          <w:tcPr>
            <w:tcW w:w="1417" w:type="dxa"/>
            <w:tcBorders>
              <w:top w:val="single" w:sz="8" w:space="0" w:color="auto"/>
              <w:bottom w:val="single" w:sz="8" w:space="0" w:color="auto"/>
              <w:right w:val="single" w:sz="12" w:space="0" w:color="auto"/>
            </w:tcBorders>
            <w:vAlign w:val="center"/>
          </w:tcPr>
          <w:p w:rsidR="00F01E92" w:rsidRPr="00C85EB5" w:rsidRDefault="00F01E92" w:rsidP="009D1DA9">
            <w:pPr>
              <w:pStyle w:val="Default"/>
              <w:spacing w:line="240" w:lineRule="exact"/>
              <w:contextualSpacing/>
              <w:jc w:val="center"/>
              <w:rPr>
                <w:color w:val="000000" w:themeColor="text1"/>
                <w:sz w:val="18"/>
                <w:szCs w:val="18"/>
              </w:rPr>
            </w:pPr>
            <w:r w:rsidRPr="00C85EB5">
              <w:rPr>
                <w:color w:val="000000" w:themeColor="text1"/>
                <w:sz w:val="18"/>
                <w:szCs w:val="18"/>
              </w:rPr>
              <w:t>4</w:t>
            </w:r>
            <w:r w:rsidR="009D1DA9">
              <w:rPr>
                <w:color w:val="000000" w:themeColor="text1"/>
                <w:sz w:val="18"/>
                <w:szCs w:val="18"/>
              </w:rPr>
              <w:t>8</w:t>
            </w:r>
            <w:r w:rsidRPr="00C85EB5">
              <w:rPr>
                <w:color w:val="000000" w:themeColor="text1"/>
                <w:sz w:val="18"/>
                <w:szCs w:val="18"/>
              </w:rPr>
              <w:t>.000</w:t>
            </w:r>
          </w:p>
        </w:tc>
      </w:tr>
      <w:tr w:rsidR="00C85EB5" w:rsidRPr="00C85EB5" w:rsidTr="00C67980">
        <w:trPr>
          <w:cantSplit/>
          <w:trHeight w:val="403"/>
          <w:jc w:val="center"/>
        </w:trPr>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300.001 - 350.000</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16.500</w:t>
            </w:r>
          </w:p>
        </w:tc>
        <w:tc>
          <w:tcPr>
            <w:tcW w:w="1418" w:type="dxa"/>
            <w:tcBorders>
              <w:top w:val="single" w:sz="8" w:space="0" w:color="auto"/>
              <w:bottom w:val="single" w:sz="8" w:space="0" w:color="auto"/>
              <w:right w:val="single" w:sz="12" w:space="0" w:color="auto"/>
            </w:tcBorders>
            <w:vAlign w:val="center"/>
          </w:tcPr>
          <w:p w:rsidR="00F01E92" w:rsidRPr="00C85EB5" w:rsidRDefault="00F01E92" w:rsidP="009D1DA9">
            <w:pPr>
              <w:pStyle w:val="Default"/>
              <w:spacing w:line="240" w:lineRule="exact"/>
              <w:contextualSpacing/>
              <w:jc w:val="center"/>
              <w:rPr>
                <w:color w:val="000000" w:themeColor="text1"/>
                <w:sz w:val="18"/>
                <w:szCs w:val="18"/>
              </w:rPr>
            </w:pPr>
            <w:r w:rsidRPr="00C85EB5">
              <w:rPr>
                <w:color w:val="000000" w:themeColor="text1"/>
                <w:sz w:val="18"/>
                <w:szCs w:val="18"/>
              </w:rPr>
              <w:t>3</w:t>
            </w:r>
            <w:r w:rsidR="009D1DA9">
              <w:rPr>
                <w:color w:val="000000" w:themeColor="text1"/>
                <w:sz w:val="18"/>
                <w:szCs w:val="18"/>
              </w:rPr>
              <w:t>3</w:t>
            </w:r>
            <w:r w:rsidRPr="00C85EB5">
              <w:rPr>
                <w:color w:val="000000" w:themeColor="text1"/>
                <w:sz w:val="18"/>
                <w:szCs w:val="18"/>
              </w:rPr>
              <w:t>.500</w:t>
            </w:r>
          </w:p>
        </w:tc>
        <w:tc>
          <w:tcPr>
            <w:tcW w:w="2160" w:type="dxa"/>
            <w:tcBorders>
              <w:top w:val="single" w:sz="8" w:space="0" w:color="auto"/>
              <w:left w:val="single" w:sz="12" w:space="0" w:color="auto"/>
              <w:bottom w:val="single" w:sz="8"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650.001 -</w:t>
            </w:r>
          </w:p>
        </w:tc>
        <w:tc>
          <w:tcPr>
            <w:tcW w:w="1276" w:type="dxa"/>
            <w:tcBorders>
              <w:top w:val="single" w:sz="8" w:space="0" w:color="auto"/>
              <w:bottom w:val="single" w:sz="8" w:space="0" w:color="auto"/>
            </w:tcBorders>
            <w:vAlign w:val="center"/>
          </w:tcPr>
          <w:p w:rsidR="00F01E92" w:rsidRPr="00C85EB5" w:rsidRDefault="00F01E92" w:rsidP="00F01E92">
            <w:pPr>
              <w:pStyle w:val="Default"/>
              <w:spacing w:line="240" w:lineRule="exact"/>
              <w:contextualSpacing/>
              <w:jc w:val="center"/>
              <w:rPr>
                <w:color w:val="000000" w:themeColor="text1"/>
                <w:sz w:val="18"/>
                <w:szCs w:val="18"/>
              </w:rPr>
            </w:pPr>
            <w:r w:rsidRPr="00C85EB5">
              <w:rPr>
                <w:color w:val="000000" w:themeColor="text1"/>
                <w:sz w:val="18"/>
                <w:szCs w:val="18"/>
              </w:rPr>
              <w:t>0</w:t>
            </w:r>
          </w:p>
        </w:tc>
        <w:tc>
          <w:tcPr>
            <w:tcW w:w="1417" w:type="dxa"/>
            <w:tcBorders>
              <w:top w:val="single" w:sz="8" w:space="0" w:color="auto"/>
              <w:bottom w:val="single" w:sz="8" w:space="0" w:color="auto"/>
              <w:right w:val="single" w:sz="12" w:space="0" w:color="auto"/>
            </w:tcBorders>
            <w:vAlign w:val="center"/>
          </w:tcPr>
          <w:p w:rsidR="00F01E92" w:rsidRPr="00C85EB5" w:rsidRDefault="009D1DA9" w:rsidP="00F01E92">
            <w:pPr>
              <w:pStyle w:val="Default"/>
              <w:spacing w:line="240" w:lineRule="exact"/>
              <w:contextualSpacing/>
              <w:jc w:val="center"/>
              <w:rPr>
                <w:color w:val="000000" w:themeColor="text1"/>
                <w:sz w:val="18"/>
                <w:szCs w:val="18"/>
              </w:rPr>
            </w:pPr>
            <w:r>
              <w:rPr>
                <w:color w:val="000000" w:themeColor="text1"/>
                <w:sz w:val="18"/>
                <w:szCs w:val="18"/>
              </w:rPr>
              <w:t>50</w:t>
            </w:r>
            <w:r w:rsidR="00F01E92" w:rsidRPr="00C85EB5">
              <w:rPr>
                <w:color w:val="000000" w:themeColor="text1"/>
                <w:sz w:val="18"/>
                <w:szCs w:val="18"/>
              </w:rPr>
              <w:t>.000</w:t>
            </w:r>
          </w:p>
        </w:tc>
      </w:tr>
      <w:tr w:rsidR="00C85EB5" w:rsidRPr="00C85EB5" w:rsidTr="00C67980">
        <w:trPr>
          <w:cantSplit/>
          <w:trHeight w:val="403"/>
          <w:jc w:val="center"/>
        </w:trPr>
        <w:tc>
          <w:tcPr>
            <w:tcW w:w="2160" w:type="dxa"/>
            <w:tcBorders>
              <w:top w:val="single" w:sz="8" w:space="0" w:color="auto"/>
              <w:left w:val="single" w:sz="12" w:space="0" w:color="auto"/>
              <w:bottom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350.001 - 400.000</w:t>
            </w:r>
          </w:p>
        </w:tc>
        <w:tc>
          <w:tcPr>
            <w:tcW w:w="1276" w:type="dxa"/>
            <w:tcBorders>
              <w:top w:val="single" w:sz="8" w:space="0" w:color="auto"/>
              <w:bottom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r w:rsidRPr="00C85EB5">
              <w:rPr>
                <w:color w:val="000000" w:themeColor="text1"/>
                <w:sz w:val="18"/>
                <w:szCs w:val="18"/>
              </w:rPr>
              <w:t xml:space="preserve">    14.000</w:t>
            </w:r>
          </w:p>
        </w:tc>
        <w:tc>
          <w:tcPr>
            <w:tcW w:w="1418" w:type="dxa"/>
            <w:tcBorders>
              <w:top w:val="single" w:sz="8" w:space="0" w:color="auto"/>
              <w:bottom w:val="single" w:sz="12" w:space="0" w:color="auto"/>
              <w:right w:val="single" w:sz="12" w:space="0" w:color="auto"/>
            </w:tcBorders>
            <w:vAlign w:val="center"/>
          </w:tcPr>
          <w:p w:rsidR="00F01E92" w:rsidRPr="00C85EB5" w:rsidRDefault="009D1DA9" w:rsidP="00F01E92">
            <w:pPr>
              <w:pStyle w:val="Default"/>
              <w:spacing w:line="240" w:lineRule="exact"/>
              <w:contextualSpacing/>
              <w:jc w:val="center"/>
              <w:rPr>
                <w:color w:val="000000" w:themeColor="text1"/>
                <w:sz w:val="18"/>
                <w:szCs w:val="18"/>
              </w:rPr>
            </w:pPr>
            <w:r>
              <w:rPr>
                <w:color w:val="000000" w:themeColor="text1"/>
                <w:sz w:val="18"/>
                <w:szCs w:val="18"/>
              </w:rPr>
              <w:t>36</w:t>
            </w:r>
            <w:r w:rsidR="00F01E92" w:rsidRPr="00C85EB5">
              <w:rPr>
                <w:color w:val="000000" w:themeColor="text1"/>
                <w:sz w:val="18"/>
                <w:szCs w:val="18"/>
              </w:rPr>
              <w:t>.000</w:t>
            </w:r>
          </w:p>
        </w:tc>
        <w:tc>
          <w:tcPr>
            <w:tcW w:w="2160" w:type="dxa"/>
            <w:tcBorders>
              <w:top w:val="single" w:sz="8" w:space="0" w:color="auto"/>
              <w:left w:val="single" w:sz="12" w:space="0" w:color="auto"/>
              <w:bottom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p>
        </w:tc>
        <w:tc>
          <w:tcPr>
            <w:tcW w:w="1276" w:type="dxa"/>
            <w:tcBorders>
              <w:top w:val="single" w:sz="8" w:space="0" w:color="auto"/>
              <w:bottom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p>
        </w:tc>
        <w:tc>
          <w:tcPr>
            <w:tcW w:w="1417" w:type="dxa"/>
            <w:tcBorders>
              <w:top w:val="single" w:sz="8" w:space="0" w:color="auto"/>
              <w:bottom w:val="single" w:sz="12" w:space="0" w:color="auto"/>
              <w:right w:val="single" w:sz="12" w:space="0" w:color="auto"/>
            </w:tcBorders>
            <w:vAlign w:val="center"/>
          </w:tcPr>
          <w:p w:rsidR="00F01E92" w:rsidRPr="00C85EB5" w:rsidRDefault="00F01E92" w:rsidP="00F01E92">
            <w:pPr>
              <w:pStyle w:val="Default"/>
              <w:spacing w:line="240" w:lineRule="exact"/>
              <w:contextualSpacing/>
              <w:rPr>
                <w:color w:val="000000" w:themeColor="text1"/>
                <w:sz w:val="18"/>
                <w:szCs w:val="18"/>
              </w:rPr>
            </w:pPr>
          </w:p>
        </w:tc>
      </w:tr>
    </w:tbl>
    <w:p w:rsidR="009E2020" w:rsidRPr="0009779B" w:rsidRDefault="009E2020" w:rsidP="009E2020">
      <w:pPr>
        <w:pStyle w:val="Default"/>
        <w:spacing w:line="240" w:lineRule="exact"/>
        <w:contextualSpacing/>
        <w:rPr>
          <w:color w:val="7F7F7F" w:themeColor="text1" w:themeTint="80"/>
          <w:sz w:val="20"/>
          <w:szCs w:val="16"/>
        </w:rPr>
      </w:pPr>
    </w:p>
    <w:p w:rsidR="009E2020" w:rsidRPr="0009779B" w:rsidRDefault="009E2020" w:rsidP="00F01E92">
      <w:pPr>
        <w:rPr>
          <w:rFonts w:ascii="Titillium Web" w:hAnsi="Titillium Web"/>
        </w:rPr>
      </w:pPr>
      <w:r w:rsidRPr="0009779B">
        <w:rPr>
          <w:rFonts w:ascii="Titillium Web" w:hAnsi="Titillium Web"/>
        </w:rPr>
        <w:t>Elevstøtten kan modtages indtil udgangen af det kvartal, hvori eleven fylder 18 år.</w:t>
      </w:r>
      <w:r w:rsidR="00C67980">
        <w:rPr>
          <w:rFonts w:ascii="Titillium Web" w:hAnsi="Titillium Web"/>
        </w:rPr>
        <w:br/>
      </w:r>
    </w:p>
    <w:p w:rsidR="009E2020" w:rsidRPr="0009779B" w:rsidRDefault="009E2020" w:rsidP="00F01E92">
      <w:pPr>
        <w:rPr>
          <w:rFonts w:ascii="Titillium Web" w:hAnsi="Titillium Web"/>
          <w:b/>
        </w:rPr>
      </w:pPr>
      <w:r w:rsidRPr="0009779B">
        <w:rPr>
          <w:rFonts w:ascii="Titillium Web" w:hAnsi="Titillium Web"/>
          <w:b/>
        </w:rPr>
        <w:t>Forældremyndigheden</w:t>
      </w:r>
    </w:p>
    <w:p w:rsidR="009E2020" w:rsidRPr="0009779B" w:rsidRDefault="009E2020" w:rsidP="00F01E92">
      <w:pPr>
        <w:rPr>
          <w:rFonts w:ascii="Titillium Web" w:hAnsi="Titillium Web"/>
        </w:rPr>
      </w:pPr>
      <w:r w:rsidRPr="0009779B">
        <w:rPr>
          <w:rFonts w:ascii="Titillium Web" w:hAnsi="Titillium Web"/>
        </w:rPr>
        <w:t>Er forældrene skilt eller separeret, regnes der med den af forældrene, der har eller senest har haft forældremyndigheden. Hvis forældremyndigheden er delt, regnes med den af forældrene, på hvis folkeregisteradresse el</w:t>
      </w:r>
      <w:r w:rsidR="00F251BA">
        <w:rPr>
          <w:rFonts w:ascii="Titillium Web" w:hAnsi="Titillium Web"/>
        </w:rPr>
        <w:t>even senest har været tilmeldt.</w:t>
      </w:r>
      <w:r w:rsidR="00C67980">
        <w:rPr>
          <w:rFonts w:ascii="Titillium Web" w:hAnsi="Titillium Web"/>
        </w:rPr>
        <w:br/>
      </w:r>
    </w:p>
    <w:p w:rsidR="009E2020" w:rsidRPr="0009779B" w:rsidRDefault="009E2020" w:rsidP="00F01E92">
      <w:pPr>
        <w:rPr>
          <w:rFonts w:ascii="Titillium Web" w:hAnsi="Titillium Web"/>
          <w:b/>
        </w:rPr>
      </w:pPr>
      <w:r w:rsidRPr="0009779B">
        <w:rPr>
          <w:rFonts w:ascii="Titillium Web" w:hAnsi="Titillium Web"/>
          <w:b/>
        </w:rPr>
        <w:t>Statens Uddannelsesstøtte</w:t>
      </w:r>
    </w:p>
    <w:p w:rsidR="009E2020" w:rsidRPr="0009779B" w:rsidRDefault="009E2020" w:rsidP="00F01E92">
      <w:pPr>
        <w:rPr>
          <w:rFonts w:ascii="Titillium Web" w:hAnsi="Titillium Web"/>
        </w:rPr>
      </w:pPr>
      <w:r w:rsidRPr="0009779B">
        <w:rPr>
          <w:rFonts w:ascii="Titillium Web" w:hAnsi="Titillium Web"/>
        </w:rPr>
        <w:t>Vedr</w:t>
      </w:r>
      <w:r w:rsidR="002B3258">
        <w:rPr>
          <w:rFonts w:ascii="Titillium Web" w:hAnsi="Titillium Web"/>
        </w:rPr>
        <w:t xml:space="preserve">. SU se SU’s hjemmeside: </w:t>
      </w:r>
      <w:hyperlink r:id="rId7" w:history="1">
        <w:r w:rsidR="002B3258" w:rsidRPr="00973EBD">
          <w:rPr>
            <w:rStyle w:val="Hyperlink"/>
            <w:rFonts w:ascii="Titillium Web" w:hAnsi="Titillium Web"/>
          </w:rPr>
          <w:t>su.dk</w:t>
        </w:r>
      </w:hyperlink>
      <w:r w:rsidRPr="0009779B">
        <w:rPr>
          <w:rFonts w:ascii="Titillium Web" w:hAnsi="Titillium Web"/>
        </w:rPr>
        <w:t>.</w:t>
      </w:r>
      <w:r w:rsidR="002B3258">
        <w:rPr>
          <w:rFonts w:ascii="Titillium Web" w:hAnsi="Titillium Web"/>
        </w:rPr>
        <w:t xml:space="preserve"> </w:t>
      </w:r>
      <w:r w:rsidRPr="0009779B">
        <w:rPr>
          <w:rFonts w:ascii="Titillium Web" w:hAnsi="Titillium Web"/>
        </w:rPr>
        <w:t>Kostelever over 18 år betragtes i SU sammenhæng som "udeboende". Dette betyder i praksis, at den mindste årlige SU-støtte for elever over 18 år nogenlunde svarer til den årlige opholdsafgift</w:t>
      </w:r>
      <w:r w:rsidR="002D48D6">
        <w:rPr>
          <w:rFonts w:ascii="Titillium Web" w:hAnsi="Titillium Web"/>
        </w:rPr>
        <w:t xml:space="preserve">, </w:t>
      </w:r>
      <w:r w:rsidR="002D48D6" w:rsidRPr="00C270C9">
        <w:rPr>
          <w:rFonts w:ascii="Titillium Web" w:hAnsi="Titillium Web"/>
          <w:b/>
        </w:rPr>
        <w:t>dog afhængig af forældreindkomst</w:t>
      </w:r>
      <w:r w:rsidR="002D48D6">
        <w:rPr>
          <w:rFonts w:ascii="Titillium Web" w:hAnsi="Titillium Web"/>
        </w:rPr>
        <w:t>.</w:t>
      </w:r>
      <w:r w:rsidR="00C67980">
        <w:rPr>
          <w:rFonts w:ascii="Titillium Web" w:hAnsi="Titillium Web"/>
        </w:rPr>
        <w:br/>
      </w:r>
    </w:p>
    <w:p w:rsidR="009E2020" w:rsidRPr="00F251BA" w:rsidRDefault="009E2020" w:rsidP="00F251BA">
      <w:pPr>
        <w:rPr>
          <w:rFonts w:ascii="Titillium Web" w:hAnsi="Titillium Web"/>
          <w:b/>
        </w:rPr>
      </w:pPr>
      <w:r w:rsidRPr="00F01E92">
        <w:rPr>
          <w:rFonts w:ascii="Titillium Web" w:hAnsi="Titillium Web"/>
          <w:b/>
        </w:rPr>
        <w:t>Regler for tildeling af elevst</w:t>
      </w:r>
      <w:r w:rsidR="00F251BA">
        <w:rPr>
          <w:rFonts w:ascii="Titillium Web" w:hAnsi="Titillium Web"/>
          <w:b/>
        </w:rPr>
        <w:t>øtte</w:t>
      </w:r>
    </w:p>
    <w:p w:rsidR="009E2020" w:rsidRPr="00F01E92" w:rsidRDefault="00007DD1" w:rsidP="00F01E92">
      <w:pPr>
        <w:rPr>
          <w:rFonts w:ascii="Titillium Web" w:hAnsi="Titillium Web"/>
        </w:rPr>
      </w:pPr>
      <w:r>
        <w:rPr>
          <w:rFonts w:ascii="Titillium Web" w:hAnsi="Titillium Web"/>
        </w:rPr>
        <w:t>1. Ved optagelse på k</w:t>
      </w:r>
      <w:r w:rsidR="009E2020" w:rsidRPr="00F01E92">
        <w:rPr>
          <w:rFonts w:ascii="Titillium Web" w:hAnsi="Titillium Web"/>
        </w:rPr>
        <w:t>ostskolen skal forældrene for at få tildelt støttebeløb give oplys</w:t>
      </w:r>
      <w:r w:rsidR="005B33AF">
        <w:rPr>
          <w:rFonts w:ascii="Titillium Web" w:hAnsi="Titillium Web"/>
        </w:rPr>
        <w:t xml:space="preserve">ninger om de økonomiske forhold, </w:t>
      </w:r>
      <w:r w:rsidR="009E2020" w:rsidRPr="00F01E92">
        <w:rPr>
          <w:rFonts w:ascii="Titillium Web" w:hAnsi="Titillium Web"/>
        </w:rPr>
        <w:t>der er nødvendige for beregning af støttebeløbet. Foreligger der ikke oplysninger om indtægtsgrundlaget, betales den fulde opholdsafgift (kr.</w:t>
      </w:r>
      <w:r w:rsidR="009D1DA9">
        <w:rPr>
          <w:rFonts w:ascii="Titillium Web" w:hAnsi="Titillium Web"/>
        </w:rPr>
        <w:t xml:space="preserve"> 50</w:t>
      </w:r>
      <w:r w:rsidR="009E2020" w:rsidRPr="00F01E92">
        <w:rPr>
          <w:rFonts w:ascii="Titillium Web" w:hAnsi="Titillium Web"/>
        </w:rPr>
        <w:t>.000,-).</w:t>
      </w:r>
      <w:r w:rsidR="00970253">
        <w:rPr>
          <w:rFonts w:ascii="Titillium Web" w:hAnsi="Titillium Web"/>
        </w:rPr>
        <w:t xml:space="preserve"> (Se dog pkt. 4)</w:t>
      </w:r>
      <w:r w:rsidR="00970253">
        <w:rPr>
          <w:rFonts w:ascii="Titillium Web" w:hAnsi="Titillium Web"/>
        </w:rPr>
        <w:tab/>
      </w:r>
    </w:p>
    <w:p w:rsidR="009E2020" w:rsidRPr="00F01E92" w:rsidRDefault="009E2020" w:rsidP="00F01E92">
      <w:pPr>
        <w:rPr>
          <w:rFonts w:ascii="Titillium Web" w:hAnsi="Titillium Web"/>
        </w:rPr>
      </w:pPr>
      <w:r w:rsidRPr="00F01E92">
        <w:rPr>
          <w:rFonts w:ascii="Titillium Web" w:hAnsi="Titillium Web"/>
        </w:rPr>
        <w:t>2. Støttebeløbet til den enkelte elev bestemmes af elevens og dennes forældres dokumenterede indkomstgrundlag. Dette opgøres på grundlag af de indtægter, der vedrører det kalenderår, der ligger to år forud for skoleårets begyndelse.</w:t>
      </w:r>
      <w:r w:rsidR="00F251BA">
        <w:rPr>
          <w:rFonts w:ascii="Titillium Web" w:hAnsi="Titillium Web"/>
        </w:rPr>
        <w:t xml:space="preserve"> (Se dog pkt. 6.)</w:t>
      </w:r>
    </w:p>
    <w:p w:rsidR="006F5F54" w:rsidRDefault="006F5F54" w:rsidP="00F01E92">
      <w:pPr>
        <w:rPr>
          <w:rFonts w:ascii="Titillium Web" w:hAnsi="Titillium Web"/>
        </w:rPr>
      </w:pPr>
    </w:p>
    <w:p w:rsidR="006F5F54" w:rsidRDefault="006F5F54" w:rsidP="00F01E92">
      <w:pPr>
        <w:rPr>
          <w:rFonts w:ascii="Titillium Web" w:hAnsi="Titillium Web"/>
        </w:rPr>
      </w:pPr>
    </w:p>
    <w:p w:rsidR="006F5F54" w:rsidRDefault="006F5F54" w:rsidP="00F01E92">
      <w:pPr>
        <w:rPr>
          <w:rFonts w:ascii="Titillium Web" w:hAnsi="Titillium Web"/>
        </w:rPr>
      </w:pPr>
    </w:p>
    <w:p w:rsidR="009E2020" w:rsidRPr="00F01E92" w:rsidRDefault="009E2020" w:rsidP="00F01E92">
      <w:pPr>
        <w:rPr>
          <w:rFonts w:ascii="Titillium Web" w:hAnsi="Titillium Web"/>
        </w:rPr>
      </w:pPr>
      <w:r w:rsidRPr="00F01E92">
        <w:rPr>
          <w:rFonts w:ascii="Titillium Web" w:hAnsi="Titillium Web"/>
        </w:rPr>
        <w:t>3. Indkomstgrundlaget består af personlig indkomst med til</w:t>
      </w:r>
      <w:r w:rsidR="00F251BA">
        <w:rPr>
          <w:rFonts w:ascii="Titillium Web" w:hAnsi="Titillium Web"/>
        </w:rPr>
        <w:t>læg af positiv kapitalindkomst.</w:t>
      </w:r>
    </w:p>
    <w:p w:rsidR="009E2020" w:rsidRPr="00F01E92" w:rsidRDefault="009E2020" w:rsidP="00F01E92">
      <w:pPr>
        <w:rPr>
          <w:rFonts w:ascii="Titillium Web" w:hAnsi="Titillium Web"/>
        </w:rPr>
      </w:pPr>
      <w:r w:rsidRPr="00F01E92">
        <w:rPr>
          <w:rFonts w:ascii="Titillium Web" w:hAnsi="Titillium Web"/>
        </w:rPr>
        <w:t xml:space="preserve">4. For forældre og elever bosat i Danmark indhenter skolen oplysninger om indtægtsgrundlaget hos Skat. Det er derfor vigtigt, at elevens og forældrenes navne, adresser og cpr.nr. oplyses korrekt på </w:t>
      </w:r>
      <w:r w:rsidR="00F251BA">
        <w:rPr>
          <w:rFonts w:ascii="Titillium Web" w:hAnsi="Titillium Web"/>
        </w:rPr>
        <w:t>tilmeldingsskemaet.</w:t>
      </w:r>
    </w:p>
    <w:p w:rsidR="009E2020" w:rsidRPr="00F01E92" w:rsidRDefault="009E2020" w:rsidP="00F01E92">
      <w:pPr>
        <w:rPr>
          <w:rFonts w:ascii="Titillium Web" w:hAnsi="Titillium Web"/>
        </w:rPr>
      </w:pPr>
      <w:r w:rsidRPr="00F01E92">
        <w:rPr>
          <w:rFonts w:ascii="Titillium Web" w:hAnsi="Titillium Web"/>
        </w:rPr>
        <w:t>5. Støttebeløbet til en elev, som selv og/eller hvis forældre er bosat i Grønland og ikke var skattepligtige i Danmark i det indkomstår, der ligger til grund for fastsættelsen, fastsættes på grundlag af dokumenterede oplysninger om elevens og forældrenes økonomiske forhold, fx brutto</w:t>
      </w:r>
      <w:r w:rsidR="00F251BA">
        <w:rPr>
          <w:rFonts w:ascii="Titillium Web" w:hAnsi="Titillium Web"/>
        </w:rPr>
        <w:t>indkomsten i nævnte indkomstår.</w:t>
      </w:r>
    </w:p>
    <w:p w:rsidR="009E2020" w:rsidRPr="00F01E92" w:rsidRDefault="009E2020" w:rsidP="00F01E92">
      <w:pPr>
        <w:rPr>
          <w:rFonts w:ascii="Titillium Web" w:hAnsi="Titillium Web"/>
        </w:rPr>
      </w:pPr>
      <w:r w:rsidRPr="00F01E92">
        <w:rPr>
          <w:rFonts w:ascii="Titillium Web" w:hAnsi="Titillium Web"/>
        </w:rPr>
        <w:t xml:space="preserve">6. Støttebeløbet til en elev, som selv og/eller hvis forældre var bosat i udlandet og ikke var skattepligtige i Danmark i det indkomstår, der ligger til grund for fastsættelsen, fastsættes efter bruttoindkomsten i kalenderåret forud for skoleårets begyndelse. </w:t>
      </w:r>
      <w:r w:rsidRPr="005B33AF">
        <w:rPr>
          <w:rFonts w:ascii="Titillium Web" w:hAnsi="Titillium Web"/>
        </w:rPr>
        <w:t>Dokumentation fra udenlandske myndigheder skal foreligge i legaliseret oversættelse til engelsk, og være verificeret af det pågældendes lands myndighed</w:t>
      </w:r>
      <w:r w:rsidRPr="005B33AF">
        <w:rPr>
          <w:rFonts w:ascii="Titillium Web" w:hAnsi="Titillium Web"/>
          <w:b/>
        </w:rPr>
        <w:t>.</w:t>
      </w:r>
      <w:r w:rsidR="00C67980">
        <w:rPr>
          <w:rFonts w:ascii="Titillium Web" w:hAnsi="Titillium Web"/>
        </w:rPr>
        <w:br/>
      </w:r>
    </w:p>
    <w:p w:rsidR="009E2020" w:rsidRPr="00F251BA" w:rsidRDefault="009E2020" w:rsidP="00F01E92">
      <w:pPr>
        <w:rPr>
          <w:rFonts w:ascii="Titillium Web" w:hAnsi="Titillium Web"/>
          <w:b/>
        </w:rPr>
      </w:pPr>
      <w:r w:rsidRPr="00F01E92">
        <w:rPr>
          <w:rFonts w:ascii="Titillium Web" w:hAnsi="Titillium Web"/>
          <w:b/>
        </w:rPr>
        <w:t>Generelle regle</w:t>
      </w:r>
      <w:r w:rsidR="00F251BA">
        <w:rPr>
          <w:rFonts w:ascii="Titillium Web" w:hAnsi="Titillium Web"/>
          <w:b/>
        </w:rPr>
        <w:t>r for betaling af opholdsafgift</w:t>
      </w:r>
    </w:p>
    <w:p w:rsidR="009E2020" w:rsidRPr="00F01E92" w:rsidRDefault="009E2020" w:rsidP="00F01E92">
      <w:pPr>
        <w:rPr>
          <w:rFonts w:ascii="Titillium Web" w:hAnsi="Titillium Web"/>
        </w:rPr>
      </w:pPr>
      <w:r w:rsidRPr="00F01E92">
        <w:rPr>
          <w:rFonts w:ascii="Titillium Web" w:hAnsi="Titillium Web"/>
        </w:rPr>
        <w:t>7. Betaling for elevers ophold påhviler forældrene også efter elevens fy</w:t>
      </w:r>
      <w:r w:rsidR="00300FCC" w:rsidRPr="00F01E92">
        <w:rPr>
          <w:rFonts w:ascii="Titillium Web" w:hAnsi="Titillium Web"/>
        </w:rPr>
        <w:t xml:space="preserve">ldte 18. år. Er forældrene døde, </w:t>
      </w:r>
      <w:r w:rsidRPr="00F01E92">
        <w:rPr>
          <w:rFonts w:ascii="Titillium Web" w:hAnsi="Titillium Web"/>
        </w:rPr>
        <w:t>p</w:t>
      </w:r>
      <w:r w:rsidR="00F251BA">
        <w:rPr>
          <w:rFonts w:ascii="Titillium Web" w:hAnsi="Titillium Web"/>
        </w:rPr>
        <w:t>åhviler betalingen eleven.</w:t>
      </w:r>
    </w:p>
    <w:p w:rsidR="009E2020" w:rsidRPr="00F01E92" w:rsidRDefault="009E2020" w:rsidP="00F01E92">
      <w:pPr>
        <w:rPr>
          <w:rFonts w:ascii="Titillium Web" w:hAnsi="Titillium Web"/>
        </w:rPr>
      </w:pPr>
      <w:r w:rsidRPr="00F01E92">
        <w:rPr>
          <w:rFonts w:ascii="Titillium Web" w:hAnsi="Titillium Web"/>
        </w:rPr>
        <w:t xml:space="preserve">8. Der er et opsigelsesvarsel </w:t>
      </w:r>
      <w:r w:rsidR="00300FCC" w:rsidRPr="00F01E92">
        <w:rPr>
          <w:rFonts w:ascii="Titillium Web" w:hAnsi="Titillium Web"/>
        </w:rPr>
        <w:t xml:space="preserve">på en måned gældende fra den 1. </w:t>
      </w:r>
      <w:r w:rsidR="00F251BA">
        <w:rPr>
          <w:rFonts w:ascii="Titillium Web" w:hAnsi="Titillium Web"/>
        </w:rPr>
        <w:t>i måneden.</w:t>
      </w:r>
      <w:r w:rsidRPr="00F01E92">
        <w:rPr>
          <w:rFonts w:ascii="Titillium Web" w:hAnsi="Titillium Web"/>
        </w:rPr>
        <w:tab/>
      </w:r>
    </w:p>
    <w:p w:rsidR="009E2020" w:rsidRPr="00F01E92" w:rsidRDefault="00C67980" w:rsidP="00F01E92">
      <w:pPr>
        <w:rPr>
          <w:rFonts w:ascii="Titillium Web" w:hAnsi="Titillium Web"/>
        </w:rPr>
      </w:pPr>
      <w:r>
        <w:rPr>
          <w:rFonts w:ascii="Titillium Web" w:hAnsi="Titillium Web"/>
        </w:rPr>
        <w:t>9. Hvis en elev bortvises fra skolen eller k</w:t>
      </w:r>
      <w:r w:rsidR="009E2020" w:rsidRPr="00F01E92">
        <w:rPr>
          <w:rFonts w:ascii="Titillium Web" w:hAnsi="Titillium Web"/>
        </w:rPr>
        <w:t>ostskolen, betales fuldt ud (efter fradrag af eventuelt støttebeløb)</w:t>
      </w:r>
      <w:r w:rsidR="00F01E92">
        <w:rPr>
          <w:rFonts w:ascii="Titillium Web" w:hAnsi="Titillium Web"/>
        </w:rPr>
        <w:t xml:space="preserve"> </w:t>
      </w:r>
      <w:r w:rsidR="00F01E92" w:rsidRPr="00F01E92">
        <w:rPr>
          <w:rFonts w:ascii="Titillium Web" w:hAnsi="Titillium Web"/>
        </w:rPr>
        <w:t xml:space="preserve">for den måned, </w:t>
      </w:r>
      <w:r w:rsidR="00F251BA">
        <w:rPr>
          <w:rFonts w:ascii="Titillium Web" w:hAnsi="Titillium Web"/>
        </w:rPr>
        <w:t>i hvilken eleven fraflytter.</w:t>
      </w:r>
    </w:p>
    <w:p w:rsidR="009E2020" w:rsidRPr="00F01E92" w:rsidRDefault="009E2020" w:rsidP="00F01E92">
      <w:pPr>
        <w:rPr>
          <w:rFonts w:ascii="Titillium Web" w:hAnsi="Titillium Web"/>
        </w:rPr>
      </w:pPr>
      <w:r w:rsidRPr="00F01E92">
        <w:rPr>
          <w:rFonts w:ascii="Titillium Web" w:hAnsi="Titillium Web"/>
        </w:rPr>
        <w:t>10.</w:t>
      </w:r>
      <w:r w:rsidR="0009779B">
        <w:rPr>
          <w:rFonts w:ascii="Titillium Web" w:hAnsi="Titillium Web"/>
        </w:rPr>
        <w:t xml:space="preserve"> </w:t>
      </w:r>
      <w:r w:rsidRPr="00F01E92">
        <w:rPr>
          <w:rFonts w:ascii="Titillium Web" w:hAnsi="Titillium Web"/>
        </w:rPr>
        <w:t>Såfremt opholdsbetaling ikke finder sted r</w:t>
      </w:r>
      <w:r w:rsidR="00C67980">
        <w:rPr>
          <w:rFonts w:ascii="Titillium Web" w:hAnsi="Titillium Web"/>
        </w:rPr>
        <w:t>ettidigt, er s</w:t>
      </w:r>
      <w:r w:rsidRPr="00F01E92">
        <w:rPr>
          <w:rFonts w:ascii="Titillium Web" w:hAnsi="Titillium Web"/>
        </w:rPr>
        <w:t>kolen beret</w:t>
      </w:r>
      <w:r w:rsidR="00300FCC" w:rsidRPr="00F01E92">
        <w:rPr>
          <w:rFonts w:ascii="Titillium Web" w:hAnsi="Titillium Web"/>
        </w:rPr>
        <w:t>tiget til at bortvise eleven fra k</w:t>
      </w:r>
      <w:r w:rsidRPr="00F01E92">
        <w:rPr>
          <w:rFonts w:ascii="Titillium Web" w:hAnsi="Titillium Web"/>
        </w:rPr>
        <w:t>ostskolen.</w:t>
      </w:r>
    </w:p>
    <w:p w:rsidR="009E2020" w:rsidRDefault="009E2020" w:rsidP="00F01E92">
      <w:pPr>
        <w:rPr>
          <w:rFonts w:ascii="Titillium Web" w:hAnsi="Titillium Web"/>
        </w:rPr>
      </w:pPr>
      <w:r w:rsidRPr="00F01E92">
        <w:rPr>
          <w:rFonts w:ascii="Titillium Web" w:hAnsi="Titillium Web"/>
        </w:rPr>
        <w:t xml:space="preserve"> </w:t>
      </w:r>
      <w:r w:rsidR="00F251BA">
        <w:rPr>
          <w:rFonts w:ascii="Titillium Web" w:hAnsi="Titillium Web"/>
        </w:rPr>
        <w:br/>
      </w:r>
      <w:r w:rsidRPr="00F01E92">
        <w:rPr>
          <w:rFonts w:ascii="Titillium Web" w:hAnsi="Titillium Web"/>
        </w:rPr>
        <w:t xml:space="preserve">Spørgsmål vedrørende opholdsbetalingen bedes rettet til </w:t>
      </w:r>
      <w:smartTag w:uri="urn:schemas-microsoft-com:office:smarttags" w:element="PersonName">
        <w:smartTagPr>
          <w:attr w:name="ProductID" w:val="Lill Olsen"/>
        </w:smartTagPr>
        <w:r w:rsidRPr="00F01E92">
          <w:rPr>
            <w:rFonts w:ascii="Titillium Web" w:hAnsi="Titillium Web"/>
          </w:rPr>
          <w:t>Lill Olsen</w:t>
        </w:r>
      </w:smartTag>
      <w:r w:rsidRPr="00F01E92">
        <w:rPr>
          <w:rFonts w:ascii="Titillium Web" w:hAnsi="Titillium Web"/>
        </w:rPr>
        <w:t xml:space="preserve"> på telefon 5786 5779.</w:t>
      </w:r>
    </w:p>
    <w:p w:rsidR="00C67980" w:rsidRDefault="00C67980" w:rsidP="00F01E92">
      <w:pPr>
        <w:rPr>
          <w:rFonts w:ascii="Titillium Web" w:hAnsi="Titillium Web"/>
        </w:rPr>
      </w:pPr>
    </w:p>
    <w:p w:rsidR="00C67980" w:rsidRDefault="00C67980" w:rsidP="00F01E92">
      <w:pPr>
        <w:rPr>
          <w:rFonts w:ascii="Titillium Web" w:hAnsi="Titillium Web"/>
        </w:rPr>
      </w:pPr>
      <w:r>
        <w:rPr>
          <w:rFonts w:ascii="Titillium Web" w:hAnsi="Titillium Web"/>
        </w:rPr>
        <w:t>Med venlig hilsen</w:t>
      </w:r>
    </w:p>
    <w:p w:rsidR="00C67980" w:rsidRPr="00F01E92" w:rsidRDefault="00C67980" w:rsidP="00F01E92">
      <w:pPr>
        <w:rPr>
          <w:rFonts w:ascii="Titillium Web" w:hAnsi="Titillium Web"/>
        </w:rPr>
      </w:pPr>
      <w:r>
        <w:rPr>
          <w:rFonts w:ascii="Titillium Web" w:hAnsi="Titillium Web"/>
        </w:rPr>
        <w:t>Kristian Jacobsen</w:t>
      </w:r>
      <w:r>
        <w:rPr>
          <w:rFonts w:ascii="Titillium Web" w:hAnsi="Titillium Web"/>
        </w:rPr>
        <w:br/>
        <w:t>Rektor</w:t>
      </w:r>
    </w:p>
    <w:p w:rsidR="002C6FB2" w:rsidRPr="002830FC" w:rsidRDefault="009E2020" w:rsidP="00556144">
      <w:pPr>
        <w:pStyle w:val="Default"/>
        <w:spacing w:line="240" w:lineRule="exact"/>
        <w:contextualSpacing/>
        <w:rPr>
          <w:rFonts w:ascii="Titillium WebRegular" w:hAnsi="Titillium WebRegular"/>
          <w:color w:val="7F7F7F" w:themeColor="text1" w:themeTint="80"/>
          <w:sz w:val="16"/>
          <w:szCs w:val="16"/>
        </w:rPr>
      </w:pPr>
      <w:r w:rsidRPr="009E2020">
        <w:rPr>
          <w:rFonts w:ascii="Titillium WebRegular" w:hAnsi="Titillium WebRegular"/>
          <w:color w:val="7F7F7F" w:themeColor="text1" w:themeTint="80"/>
          <w:sz w:val="20"/>
          <w:szCs w:val="16"/>
        </w:rPr>
        <w:tab/>
      </w:r>
      <w:r w:rsidR="00753B6E">
        <w:rPr>
          <w:rFonts w:ascii="Titillium WebRegular" w:hAnsi="Titillium WebRegular"/>
          <w:noProof/>
          <w:color w:val="7F7F7F" w:themeColor="text1" w:themeTint="80"/>
          <w:sz w:val="20"/>
          <w:szCs w:val="16"/>
          <w:lang w:eastAsia="da-DK"/>
        </w:rPr>
        <mc:AlternateContent>
          <mc:Choice Requires="wps">
            <w:drawing>
              <wp:anchor distT="0" distB="0" distL="114300" distR="114300" simplePos="0" relativeHeight="251659264" behindDoc="0" locked="1" layoutInCell="1" allowOverlap="1" wp14:anchorId="06039EE5" wp14:editId="53F359A8">
                <wp:simplePos x="0" y="0"/>
                <wp:positionH relativeFrom="column">
                  <wp:posOffset>4895850</wp:posOffset>
                </wp:positionH>
                <wp:positionV relativeFrom="bottomMargin">
                  <wp:posOffset>-1405890</wp:posOffset>
                </wp:positionV>
                <wp:extent cx="1501140" cy="1828800"/>
                <wp:effectExtent l="0" t="0" r="0" b="0"/>
                <wp:wrapNone/>
                <wp:docPr id="173" name="Tekstfelt 173"/>
                <wp:cNvGraphicFramePr/>
                <a:graphic xmlns:a="http://schemas.openxmlformats.org/drawingml/2006/main">
                  <a:graphicData uri="http://schemas.microsoft.com/office/word/2010/wordprocessingShape">
                    <wps:wsp>
                      <wps:cNvSpPr txBox="1"/>
                      <wps:spPr>
                        <a:xfrm>
                          <a:off x="0" y="0"/>
                          <a:ext cx="150114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b/>
                                <w:bCs/>
                                <w:color w:val="000000"/>
                                <w:sz w:val="16"/>
                                <w:szCs w:val="16"/>
                              </w:rPr>
                              <w:t>SORØ AKADEMIS SKOLE</w:t>
                            </w: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color w:val="000000"/>
                                <w:sz w:val="16"/>
                                <w:szCs w:val="16"/>
                              </w:rPr>
                              <w:t>Akademigrunden 8</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color w:val="000000"/>
                                <w:sz w:val="16"/>
                                <w:szCs w:val="16"/>
                              </w:rPr>
                              <w:t>4180 Sorø</w:t>
                            </w: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color w:val="000000"/>
                                <w:sz w:val="16"/>
                                <w:szCs w:val="16"/>
                              </w:rPr>
                              <w:t xml:space="preserve">Tlf. 57 86 57 86 </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r w:rsidRPr="00480D2B">
                              <w:rPr>
                                <w:rFonts w:ascii="Titillium Web" w:hAnsi="Titillium Web" w:cs="Titillium Web"/>
                                <w:color w:val="000000"/>
                                <w:sz w:val="16"/>
                                <w:szCs w:val="16"/>
                                <w:lang w:val="en-US"/>
                              </w:rPr>
                              <w:t>Fax 57 86 57 77</w:t>
                            </w: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p>
                          <w:p w:rsidR="00753B6E" w:rsidRPr="00480D2B" w:rsidRDefault="009E2020" w:rsidP="00753B6E">
                            <w:pPr>
                              <w:autoSpaceDE w:val="0"/>
                              <w:autoSpaceDN w:val="0"/>
                              <w:adjustRightInd w:val="0"/>
                              <w:spacing w:after="0" w:line="241" w:lineRule="atLeast"/>
                              <w:jc w:val="right"/>
                              <w:rPr>
                                <w:rFonts w:ascii="Titillium Web" w:hAnsi="Titillium Web" w:cs="Titillium Web"/>
                                <w:color w:val="000000"/>
                                <w:sz w:val="16"/>
                                <w:szCs w:val="16"/>
                                <w:lang w:val="en-US"/>
                              </w:rPr>
                            </w:pPr>
                            <w:r>
                              <w:rPr>
                                <w:rFonts w:ascii="Titillium Web" w:hAnsi="Titillium Web" w:cs="Titillium Web"/>
                                <w:color w:val="000000"/>
                                <w:sz w:val="16"/>
                                <w:szCs w:val="16"/>
                                <w:lang w:val="en-US"/>
                              </w:rPr>
                              <w:t>rektor</w:t>
                            </w:r>
                            <w:r w:rsidR="00753B6E" w:rsidRPr="00480D2B">
                              <w:rPr>
                                <w:rFonts w:ascii="Titillium Web" w:hAnsi="Titillium Web" w:cs="Titillium Web"/>
                                <w:color w:val="000000"/>
                                <w:sz w:val="16"/>
                                <w:szCs w:val="16"/>
                                <w:lang w:val="en-US"/>
                              </w:rPr>
                              <w:t>@sor</w:t>
                            </w:r>
                            <w:r w:rsidR="00F95D65">
                              <w:rPr>
                                <w:rFonts w:ascii="Titillium Web" w:hAnsi="Titillium Web" w:cs="Titillium Web"/>
                                <w:color w:val="000000"/>
                                <w:sz w:val="16"/>
                                <w:szCs w:val="16"/>
                                <w:lang w:val="en-US"/>
                              </w:rPr>
                              <w:t>oe</w:t>
                            </w:r>
                            <w:r w:rsidR="00753B6E" w:rsidRPr="00480D2B">
                              <w:rPr>
                                <w:rFonts w:ascii="Titillium Web" w:hAnsi="Titillium Web" w:cs="Titillium Web"/>
                                <w:color w:val="000000"/>
                                <w:sz w:val="16"/>
                                <w:szCs w:val="16"/>
                                <w:lang w:val="en-US"/>
                              </w:rPr>
                              <w:t>akademi.dk</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r>
                              <w:rPr>
                                <w:rFonts w:ascii="Titillium Web" w:hAnsi="Titillium Web" w:cs="Titillium Web"/>
                                <w:color w:val="000000"/>
                                <w:sz w:val="16"/>
                                <w:szCs w:val="16"/>
                                <w:lang w:val="en-US"/>
                              </w:rPr>
                              <w:t>sor</w:t>
                            </w:r>
                            <w:r w:rsidR="00F95D65">
                              <w:rPr>
                                <w:rFonts w:ascii="Titillium Web" w:hAnsi="Titillium Web" w:cs="Titillium Web"/>
                                <w:color w:val="000000"/>
                                <w:sz w:val="16"/>
                                <w:szCs w:val="16"/>
                                <w:lang w:val="en-US"/>
                              </w:rPr>
                              <w:t>oe</w:t>
                            </w:r>
                            <w:r>
                              <w:rPr>
                                <w:rFonts w:ascii="Titillium Web" w:hAnsi="Titillium Web" w:cs="Titillium Web"/>
                                <w:color w:val="000000"/>
                                <w:sz w:val="16"/>
                                <w:szCs w:val="16"/>
                                <w:lang w:val="en-US"/>
                              </w:rPr>
                              <w:t>akademi.dk</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p>
                          <w:p w:rsidR="00753B6E" w:rsidRPr="00753B6E" w:rsidRDefault="00753B6E" w:rsidP="00753B6E">
                            <w:pPr>
                              <w:jc w:val="right"/>
                              <w:rPr>
                                <w:lang w:val="en-US"/>
                              </w:rPr>
                            </w:pPr>
                            <w:r>
                              <w:rPr>
                                <w:rFonts w:ascii="Titillium Web" w:hAnsi="Titillium Web" w:cs="Titillium Web"/>
                                <w:color w:val="000000"/>
                                <w:sz w:val="16"/>
                                <w:szCs w:val="16"/>
                                <w:lang w:val="en-US"/>
                              </w:rPr>
                              <w:t xml:space="preserve">               </w:t>
                            </w:r>
                            <w:r w:rsidRPr="00480D2B">
                              <w:rPr>
                                <w:rFonts w:ascii="Titillium Web" w:hAnsi="Titillium Web" w:cs="Titillium Web"/>
                                <w:color w:val="000000"/>
                                <w:sz w:val="16"/>
                                <w:szCs w:val="16"/>
                                <w:lang w:val="en-US"/>
                              </w:rPr>
                              <w:t>EAN: 5798000555167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39EE5" id="_x0000_t202" coordsize="21600,21600" o:spt="202" path="m,l,21600r21600,l21600,xe">
                <v:stroke joinstyle="miter"/>
                <v:path gradientshapeok="t" o:connecttype="rect"/>
              </v:shapetype>
              <v:shape id="Tekstfelt 173" o:spid="_x0000_s1026" type="#_x0000_t202" style="position:absolute;margin-left:385.5pt;margin-top:-110.7pt;width:118.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" filled="f" stroked="f" strokeweight=".5pt">
                <v:textbox>
                  <w:txbxContent>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b/>
                          <w:bCs/>
                          <w:color w:val="000000"/>
                          <w:sz w:val="16"/>
                          <w:szCs w:val="16"/>
                        </w:rPr>
                        <w:t>SORØ AKADEMIS SKOLE</w:t>
                      </w: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color w:val="000000"/>
                          <w:sz w:val="16"/>
                          <w:szCs w:val="16"/>
                        </w:rPr>
                        <w:t>Akademigrunden 8</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color w:val="000000"/>
                          <w:sz w:val="16"/>
                          <w:szCs w:val="16"/>
                        </w:rPr>
                        <w:t>4180 Sorø</w:t>
                      </w: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rPr>
                      </w:pPr>
                      <w:r w:rsidRPr="00480D2B">
                        <w:rPr>
                          <w:rFonts w:ascii="Titillium Web" w:hAnsi="Titillium Web" w:cs="Titillium Web"/>
                          <w:color w:val="000000"/>
                          <w:sz w:val="16"/>
                          <w:szCs w:val="16"/>
                        </w:rPr>
                        <w:t xml:space="preserve">Tlf. 57 86 57 86 </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r w:rsidRPr="00480D2B">
                        <w:rPr>
                          <w:rFonts w:ascii="Titillium Web" w:hAnsi="Titillium Web" w:cs="Titillium Web"/>
                          <w:color w:val="000000"/>
                          <w:sz w:val="16"/>
                          <w:szCs w:val="16"/>
                          <w:lang w:val="en-US"/>
                        </w:rPr>
                        <w:t>Fax 57 86 57 77</w:t>
                      </w:r>
                    </w:p>
                    <w:p w:rsidR="00753B6E" w:rsidRPr="00480D2B"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p>
                    <w:p w:rsidR="00753B6E" w:rsidRPr="00480D2B" w:rsidRDefault="009E2020" w:rsidP="00753B6E">
                      <w:pPr>
                        <w:autoSpaceDE w:val="0"/>
                        <w:autoSpaceDN w:val="0"/>
                        <w:adjustRightInd w:val="0"/>
                        <w:spacing w:after="0" w:line="241" w:lineRule="atLeast"/>
                        <w:jc w:val="right"/>
                        <w:rPr>
                          <w:rFonts w:ascii="Titillium Web" w:hAnsi="Titillium Web" w:cs="Titillium Web"/>
                          <w:color w:val="000000"/>
                          <w:sz w:val="16"/>
                          <w:szCs w:val="16"/>
                          <w:lang w:val="en-US"/>
                        </w:rPr>
                      </w:pPr>
                      <w:r>
                        <w:rPr>
                          <w:rFonts w:ascii="Titillium Web" w:hAnsi="Titillium Web" w:cs="Titillium Web"/>
                          <w:color w:val="000000"/>
                          <w:sz w:val="16"/>
                          <w:szCs w:val="16"/>
                          <w:lang w:val="en-US"/>
                        </w:rPr>
                        <w:t>rektor</w:t>
                      </w:r>
                      <w:r w:rsidR="00753B6E" w:rsidRPr="00480D2B">
                        <w:rPr>
                          <w:rFonts w:ascii="Titillium Web" w:hAnsi="Titillium Web" w:cs="Titillium Web"/>
                          <w:color w:val="000000"/>
                          <w:sz w:val="16"/>
                          <w:szCs w:val="16"/>
                          <w:lang w:val="en-US"/>
                        </w:rPr>
                        <w:t>@sor</w:t>
                      </w:r>
                      <w:r w:rsidR="00F95D65">
                        <w:rPr>
                          <w:rFonts w:ascii="Titillium Web" w:hAnsi="Titillium Web" w:cs="Titillium Web"/>
                          <w:color w:val="000000"/>
                          <w:sz w:val="16"/>
                          <w:szCs w:val="16"/>
                          <w:lang w:val="en-US"/>
                        </w:rPr>
                        <w:t>oe</w:t>
                      </w:r>
                      <w:r w:rsidR="00753B6E" w:rsidRPr="00480D2B">
                        <w:rPr>
                          <w:rFonts w:ascii="Titillium Web" w:hAnsi="Titillium Web" w:cs="Titillium Web"/>
                          <w:color w:val="000000"/>
                          <w:sz w:val="16"/>
                          <w:szCs w:val="16"/>
                          <w:lang w:val="en-US"/>
                        </w:rPr>
                        <w:t>akademi.dk</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r>
                        <w:rPr>
                          <w:rFonts w:ascii="Titillium Web" w:hAnsi="Titillium Web" w:cs="Titillium Web"/>
                          <w:color w:val="000000"/>
                          <w:sz w:val="16"/>
                          <w:szCs w:val="16"/>
                          <w:lang w:val="en-US"/>
                        </w:rPr>
                        <w:t>sor</w:t>
                      </w:r>
                      <w:r w:rsidR="00F95D65">
                        <w:rPr>
                          <w:rFonts w:ascii="Titillium Web" w:hAnsi="Titillium Web" w:cs="Titillium Web"/>
                          <w:color w:val="000000"/>
                          <w:sz w:val="16"/>
                          <w:szCs w:val="16"/>
                          <w:lang w:val="en-US"/>
                        </w:rPr>
                        <w:t>oe</w:t>
                      </w:r>
                      <w:r>
                        <w:rPr>
                          <w:rFonts w:ascii="Titillium Web" w:hAnsi="Titillium Web" w:cs="Titillium Web"/>
                          <w:color w:val="000000"/>
                          <w:sz w:val="16"/>
                          <w:szCs w:val="16"/>
                          <w:lang w:val="en-US"/>
                        </w:rPr>
                        <w:t>akademi.dk</w:t>
                      </w:r>
                    </w:p>
                    <w:p w:rsidR="00753B6E" w:rsidRDefault="00753B6E" w:rsidP="00753B6E">
                      <w:pPr>
                        <w:autoSpaceDE w:val="0"/>
                        <w:autoSpaceDN w:val="0"/>
                        <w:adjustRightInd w:val="0"/>
                        <w:spacing w:after="0" w:line="241" w:lineRule="atLeast"/>
                        <w:jc w:val="right"/>
                        <w:rPr>
                          <w:rFonts w:ascii="Titillium Web" w:hAnsi="Titillium Web" w:cs="Titillium Web"/>
                          <w:color w:val="000000"/>
                          <w:sz w:val="16"/>
                          <w:szCs w:val="16"/>
                          <w:lang w:val="en-US"/>
                        </w:rPr>
                      </w:pPr>
                    </w:p>
                    <w:p w:rsidR="00753B6E" w:rsidRPr="00753B6E" w:rsidRDefault="00753B6E" w:rsidP="00753B6E">
                      <w:pPr>
                        <w:jc w:val="right"/>
                        <w:rPr>
                          <w:lang w:val="en-US"/>
                        </w:rPr>
                      </w:pPr>
                      <w:r>
                        <w:rPr>
                          <w:rFonts w:ascii="Titillium Web" w:hAnsi="Titillium Web" w:cs="Titillium Web"/>
                          <w:color w:val="000000"/>
                          <w:sz w:val="16"/>
                          <w:szCs w:val="16"/>
                          <w:lang w:val="en-US"/>
                        </w:rPr>
                        <w:t xml:space="preserve">               </w:t>
                      </w:r>
                      <w:r w:rsidRPr="00480D2B">
                        <w:rPr>
                          <w:rFonts w:ascii="Titillium Web" w:hAnsi="Titillium Web" w:cs="Titillium Web"/>
                          <w:color w:val="000000"/>
                          <w:sz w:val="16"/>
                          <w:szCs w:val="16"/>
                          <w:lang w:val="en-US"/>
                        </w:rPr>
                        <w:t>EAN: 5798000555167</w:t>
                      </w:r>
                    </w:p>
                  </w:txbxContent>
                </v:textbox>
                <w10:wrap anchory="margin"/>
                <w10:anchorlock/>
              </v:shape>
            </w:pict>
          </mc:Fallback>
        </mc:AlternateContent>
      </w:r>
    </w:p>
    <w:sectPr w:rsidR="002C6FB2" w:rsidRPr="002830FC" w:rsidSect="003C133C">
      <w:headerReference w:type="default" r:id="rId8"/>
      <w:footerReference w:type="default" r:id="rId9"/>
      <w:pgSz w:w="11906" w:h="16838"/>
      <w:pgMar w:top="2127" w:right="707" w:bottom="1134" w:left="1134" w:header="0" w:footer="8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CA" w:rsidRDefault="00337ACA" w:rsidP="00565F44">
      <w:pPr>
        <w:spacing w:after="0" w:line="240" w:lineRule="auto"/>
      </w:pPr>
      <w:r>
        <w:separator/>
      </w:r>
    </w:p>
  </w:endnote>
  <w:endnote w:type="continuationSeparator" w:id="0">
    <w:p w:rsidR="00337ACA" w:rsidRDefault="00337ACA" w:rsidP="0056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liumweb">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tiliumweb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Regular">
    <w:altName w:val="Courier New"/>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6E" w:rsidRDefault="00753B6E" w:rsidP="0041190F">
    <w:pPr>
      <w:pStyle w:val="Sidefod"/>
      <w:ind w:left="7371" w:hanging="737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CA" w:rsidRDefault="00337ACA" w:rsidP="00565F44">
      <w:pPr>
        <w:spacing w:after="0" w:line="240" w:lineRule="auto"/>
      </w:pPr>
      <w:r>
        <w:separator/>
      </w:r>
    </w:p>
  </w:footnote>
  <w:footnote w:type="continuationSeparator" w:id="0">
    <w:p w:rsidR="00337ACA" w:rsidRDefault="00337ACA" w:rsidP="0056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52" w:rsidRDefault="00F30752">
    <w:pPr>
      <w:pStyle w:val="Sidehoved"/>
    </w:pPr>
    <w:r w:rsidRPr="002C6FB2">
      <w:rPr>
        <w:rStyle w:val="Overskrift3Tegn"/>
        <w:noProof/>
        <w:sz w:val="17"/>
        <w:szCs w:val="17"/>
        <w:lang w:eastAsia="da-DK"/>
      </w:rPr>
      <w:drawing>
        <wp:anchor distT="0" distB="0" distL="114300" distR="114300" simplePos="0" relativeHeight="251659264" behindDoc="1" locked="0" layoutInCell="1" allowOverlap="1" wp14:anchorId="21296F1F" wp14:editId="4D98BA7F">
          <wp:simplePos x="0" y="0"/>
          <wp:positionH relativeFrom="margin">
            <wp:posOffset>4581525</wp:posOffset>
          </wp:positionH>
          <wp:positionV relativeFrom="paragraph">
            <wp:posOffset>581025</wp:posOffset>
          </wp:positionV>
          <wp:extent cx="1724025" cy="466725"/>
          <wp:effectExtent l="0" t="0" r="9525" b="9525"/>
          <wp:wrapTight wrapText="bothSides">
            <wp:wrapPolygon edited="0">
              <wp:start x="0" y="0"/>
              <wp:lineTo x="0" y="21159"/>
              <wp:lineTo x="21481" y="21159"/>
              <wp:lineTo x="21481" y="0"/>
              <wp:lineTo x="0" y="0"/>
            </wp:wrapPolygon>
          </wp:wrapTight>
          <wp:docPr id="28" name="Picture 1" descr="C:\Users\Martin\Desktop\FILER SORØ AKADEMI\FILER SOR├ÿ AKADEMI\LOGOFILER_JPG\LOGO_POSITIV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FILER SORØ AKADEMI\FILER SOR├ÿ AKADEMI\LOGOFILER_JPG\LOGO_POSITIV_CMYK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20"/>
    <w:rsid w:val="00007DD1"/>
    <w:rsid w:val="00061318"/>
    <w:rsid w:val="0009779B"/>
    <w:rsid w:val="001508F1"/>
    <w:rsid w:val="00185F0F"/>
    <w:rsid w:val="001951D9"/>
    <w:rsid w:val="001D563E"/>
    <w:rsid w:val="001E2CE1"/>
    <w:rsid w:val="001E6114"/>
    <w:rsid w:val="002522E8"/>
    <w:rsid w:val="002830FC"/>
    <w:rsid w:val="002B3258"/>
    <w:rsid w:val="002B3AEB"/>
    <w:rsid w:val="002C6FB2"/>
    <w:rsid w:val="002D48D6"/>
    <w:rsid w:val="00300FCC"/>
    <w:rsid w:val="0033316D"/>
    <w:rsid w:val="00337ACA"/>
    <w:rsid w:val="003570A3"/>
    <w:rsid w:val="00364B2C"/>
    <w:rsid w:val="003934D3"/>
    <w:rsid w:val="003C133C"/>
    <w:rsid w:val="0041190F"/>
    <w:rsid w:val="00432508"/>
    <w:rsid w:val="00480D2B"/>
    <w:rsid w:val="004B5AB6"/>
    <w:rsid w:val="00556144"/>
    <w:rsid w:val="00557AF3"/>
    <w:rsid w:val="00565F44"/>
    <w:rsid w:val="005B33AF"/>
    <w:rsid w:val="005E76C7"/>
    <w:rsid w:val="005F4C8D"/>
    <w:rsid w:val="005F6078"/>
    <w:rsid w:val="006016E4"/>
    <w:rsid w:val="006554A9"/>
    <w:rsid w:val="00672FEB"/>
    <w:rsid w:val="006B058E"/>
    <w:rsid w:val="006B3380"/>
    <w:rsid w:val="006F5F54"/>
    <w:rsid w:val="00710BF9"/>
    <w:rsid w:val="00753B6E"/>
    <w:rsid w:val="00792C3B"/>
    <w:rsid w:val="007A1D79"/>
    <w:rsid w:val="007C286F"/>
    <w:rsid w:val="007F056D"/>
    <w:rsid w:val="007F2A25"/>
    <w:rsid w:val="007F580D"/>
    <w:rsid w:val="00801D72"/>
    <w:rsid w:val="008145A7"/>
    <w:rsid w:val="008A09BE"/>
    <w:rsid w:val="008F7671"/>
    <w:rsid w:val="00907CD8"/>
    <w:rsid w:val="00961408"/>
    <w:rsid w:val="00970253"/>
    <w:rsid w:val="00987DC6"/>
    <w:rsid w:val="009A78AF"/>
    <w:rsid w:val="009D1DA9"/>
    <w:rsid w:val="009E2020"/>
    <w:rsid w:val="009F4A09"/>
    <w:rsid w:val="009F7E41"/>
    <w:rsid w:val="00A16669"/>
    <w:rsid w:val="00A36D50"/>
    <w:rsid w:val="00A42415"/>
    <w:rsid w:val="00A45C3F"/>
    <w:rsid w:val="00AE3CE3"/>
    <w:rsid w:val="00B0630A"/>
    <w:rsid w:val="00B32DD8"/>
    <w:rsid w:val="00B418D5"/>
    <w:rsid w:val="00BD0D6C"/>
    <w:rsid w:val="00BE2BBA"/>
    <w:rsid w:val="00C044FD"/>
    <w:rsid w:val="00C10FBD"/>
    <w:rsid w:val="00C211E3"/>
    <w:rsid w:val="00C261B6"/>
    <w:rsid w:val="00C270C9"/>
    <w:rsid w:val="00C67980"/>
    <w:rsid w:val="00C85EB5"/>
    <w:rsid w:val="00CA425A"/>
    <w:rsid w:val="00CC3B26"/>
    <w:rsid w:val="00CC5F9E"/>
    <w:rsid w:val="00CE120B"/>
    <w:rsid w:val="00D24579"/>
    <w:rsid w:val="00D43250"/>
    <w:rsid w:val="00D5301D"/>
    <w:rsid w:val="00DC2462"/>
    <w:rsid w:val="00E13D8D"/>
    <w:rsid w:val="00EC3984"/>
    <w:rsid w:val="00F01E92"/>
    <w:rsid w:val="00F02525"/>
    <w:rsid w:val="00F251BA"/>
    <w:rsid w:val="00F30752"/>
    <w:rsid w:val="00F464E5"/>
    <w:rsid w:val="00F53141"/>
    <w:rsid w:val="00F60925"/>
    <w:rsid w:val="00F6448D"/>
    <w:rsid w:val="00F95D65"/>
    <w:rsid w:val="00FA6465"/>
    <w:rsid w:val="00FB0D32"/>
    <w:rsid w:val="00FB41AD"/>
    <w:rsid w:val="00FB452D"/>
    <w:rsid w:val="00FC6F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6DD3165-CBB4-4148-B1F9-0718CE96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3B"/>
  </w:style>
  <w:style w:type="paragraph" w:styleId="Overskrift1">
    <w:name w:val="heading 1"/>
    <w:basedOn w:val="Normal"/>
    <w:next w:val="Normal"/>
    <w:link w:val="Overskrift1Tegn"/>
    <w:uiPriority w:val="9"/>
    <w:qFormat/>
    <w:rsid w:val="00480D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9E2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F307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85F0F"/>
    <w:pPr>
      <w:autoSpaceDE w:val="0"/>
      <w:autoSpaceDN w:val="0"/>
      <w:adjustRightInd w:val="0"/>
      <w:spacing w:after="0" w:line="240" w:lineRule="auto"/>
    </w:pPr>
    <w:rPr>
      <w:rFonts w:ascii="Titillium Web" w:hAnsi="Titillium Web" w:cs="Titillium Web"/>
      <w:color w:val="000000"/>
      <w:sz w:val="24"/>
      <w:szCs w:val="24"/>
    </w:rPr>
  </w:style>
  <w:style w:type="paragraph" w:customStyle="1" w:styleId="Pa0">
    <w:name w:val="Pa0"/>
    <w:basedOn w:val="Default"/>
    <w:next w:val="Default"/>
    <w:uiPriority w:val="99"/>
    <w:rsid w:val="00185F0F"/>
    <w:pPr>
      <w:spacing w:line="241" w:lineRule="atLeast"/>
    </w:pPr>
    <w:rPr>
      <w:rFonts w:cstheme="minorBidi"/>
      <w:color w:val="auto"/>
    </w:rPr>
  </w:style>
  <w:style w:type="character" w:customStyle="1" w:styleId="A0">
    <w:name w:val="A0"/>
    <w:uiPriority w:val="99"/>
    <w:rsid w:val="00185F0F"/>
    <w:rPr>
      <w:rFonts w:cs="Titillium Web"/>
      <w:color w:val="000000"/>
      <w:sz w:val="19"/>
      <w:szCs w:val="19"/>
    </w:rPr>
  </w:style>
  <w:style w:type="character" w:customStyle="1" w:styleId="A1">
    <w:name w:val="A1"/>
    <w:uiPriority w:val="99"/>
    <w:rsid w:val="00185F0F"/>
    <w:rPr>
      <w:rFonts w:cs="Titillium Web"/>
      <w:b/>
      <w:bCs/>
      <w:color w:val="000000"/>
      <w:sz w:val="40"/>
      <w:szCs w:val="40"/>
    </w:rPr>
  </w:style>
  <w:style w:type="character" w:customStyle="1" w:styleId="A2">
    <w:name w:val="A2"/>
    <w:uiPriority w:val="99"/>
    <w:rsid w:val="00185F0F"/>
    <w:rPr>
      <w:rFonts w:cs="Titillium Web"/>
      <w:color w:val="000000"/>
      <w:sz w:val="17"/>
      <w:szCs w:val="17"/>
    </w:rPr>
  </w:style>
  <w:style w:type="character" w:customStyle="1" w:styleId="A3">
    <w:name w:val="A3"/>
    <w:uiPriority w:val="99"/>
    <w:rsid w:val="00185F0F"/>
    <w:rPr>
      <w:rFonts w:cs="Titillium Web"/>
      <w:b/>
      <w:bCs/>
      <w:color w:val="000000"/>
      <w:sz w:val="20"/>
      <w:szCs w:val="20"/>
    </w:rPr>
  </w:style>
  <w:style w:type="paragraph" w:customStyle="1" w:styleId="Pa1">
    <w:name w:val="Pa1"/>
    <w:basedOn w:val="Default"/>
    <w:next w:val="Default"/>
    <w:uiPriority w:val="99"/>
    <w:rsid w:val="00185F0F"/>
    <w:pPr>
      <w:spacing w:line="241" w:lineRule="atLeast"/>
    </w:pPr>
    <w:rPr>
      <w:rFonts w:cstheme="minorBidi"/>
      <w:color w:val="auto"/>
    </w:rPr>
  </w:style>
  <w:style w:type="character" w:customStyle="1" w:styleId="A4">
    <w:name w:val="A4"/>
    <w:uiPriority w:val="99"/>
    <w:rsid w:val="00185F0F"/>
    <w:rPr>
      <w:rFonts w:cs="Titillium Web"/>
      <w:color w:val="000000"/>
      <w:sz w:val="16"/>
      <w:szCs w:val="16"/>
    </w:rPr>
  </w:style>
  <w:style w:type="paragraph" w:styleId="Markeringsbobletekst">
    <w:name w:val="Balloon Text"/>
    <w:basedOn w:val="Normal"/>
    <w:link w:val="MarkeringsbobletekstTegn"/>
    <w:uiPriority w:val="99"/>
    <w:semiHidden/>
    <w:unhideWhenUsed/>
    <w:rsid w:val="007F580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F580D"/>
    <w:rPr>
      <w:rFonts w:ascii="Segoe UI" w:hAnsi="Segoe UI" w:cs="Segoe UI"/>
      <w:sz w:val="18"/>
      <w:szCs w:val="18"/>
    </w:rPr>
  </w:style>
  <w:style w:type="paragraph" w:styleId="Sidehoved">
    <w:name w:val="header"/>
    <w:basedOn w:val="Normal"/>
    <w:link w:val="SidehovedTegn"/>
    <w:uiPriority w:val="99"/>
    <w:unhideWhenUsed/>
    <w:rsid w:val="00565F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5F44"/>
  </w:style>
  <w:style w:type="paragraph" w:styleId="Sidefod">
    <w:name w:val="footer"/>
    <w:basedOn w:val="Normal"/>
    <w:link w:val="SidefodTegn"/>
    <w:uiPriority w:val="99"/>
    <w:unhideWhenUsed/>
    <w:rsid w:val="00565F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5F44"/>
  </w:style>
  <w:style w:type="character" w:styleId="Pladsholdertekst">
    <w:name w:val="Placeholder Text"/>
    <w:basedOn w:val="Standardskrifttypeiafsnit"/>
    <w:uiPriority w:val="99"/>
    <w:semiHidden/>
    <w:rsid w:val="00C044FD"/>
    <w:rPr>
      <w:color w:val="808080"/>
    </w:rPr>
  </w:style>
  <w:style w:type="character" w:customStyle="1" w:styleId="Overskrift1Tegn">
    <w:name w:val="Overskrift 1 Tegn"/>
    <w:basedOn w:val="Standardskrifttypeiafsnit"/>
    <w:link w:val="Overskrift1"/>
    <w:uiPriority w:val="9"/>
    <w:rsid w:val="00480D2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480D2B"/>
    <w:pPr>
      <w:spacing w:line="259" w:lineRule="auto"/>
      <w:outlineLvl w:val="9"/>
    </w:pPr>
    <w:rPr>
      <w:lang w:eastAsia="da-DK"/>
    </w:rPr>
  </w:style>
  <w:style w:type="table" w:styleId="Tabel-Gitter">
    <w:name w:val="Table Grid"/>
    <w:basedOn w:val="Tabel-Normal"/>
    <w:uiPriority w:val="39"/>
    <w:rsid w:val="00F5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9E2020"/>
    <w:rPr>
      <w:rFonts w:asciiTheme="majorHAnsi" w:eastAsiaTheme="majorEastAsia" w:hAnsiTheme="majorHAnsi" w:cstheme="majorBidi"/>
      <w:color w:val="2E74B5" w:themeColor="accent1" w:themeShade="BF"/>
      <w:sz w:val="26"/>
      <w:szCs w:val="26"/>
    </w:rPr>
  </w:style>
  <w:style w:type="character" w:styleId="Kommentarhenvisning">
    <w:name w:val="annotation reference"/>
    <w:basedOn w:val="Standardskrifttypeiafsnit"/>
    <w:uiPriority w:val="99"/>
    <w:semiHidden/>
    <w:unhideWhenUsed/>
    <w:rsid w:val="001E2CE1"/>
    <w:rPr>
      <w:sz w:val="16"/>
      <w:szCs w:val="16"/>
    </w:rPr>
  </w:style>
  <w:style w:type="paragraph" w:styleId="Kommentartekst">
    <w:name w:val="annotation text"/>
    <w:basedOn w:val="Normal"/>
    <w:link w:val="KommentartekstTegn"/>
    <w:uiPriority w:val="99"/>
    <w:semiHidden/>
    <w:unhideWhenUsed/>
    <w:rsid w:val="001E2C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2CE1"/>
    <w:rPr>
      <w:sz w:val="20"/>
      <w:szCs w:val="20"/>
    </w:rPr>
  </w:style>
  <w:style w:type="paragraph" w:styleId="Kommentaremne">
    <w:name w:val="annotation subject"/>
    <w:basedOn w:val="Kommentartekst"/>
    <w:next w:val="Kommentartekst"/>
    <w:link w:val="KommentaremneTegn"/>
    <w:uiPriority w:val="99"/>
    <w:semiHidden/>
    <w:unhideWhenUsed/>
    <w:rsid w:val="001E2CE1"/>
    <w:rPr>
      <w:b/>
      <w:bCs/>
    </w:rPr>
  </w:style>
  <w:style w:type="character" w:customStyle="1" w:styleId="KommentaremneTegn">
    <w:name w:val="Kommentaremne Tegn"/>
    <w:basedOn w:val="KommentartekstTegn"/>
    <w:link w:val="Kommentaremne"/>
    <w:uiPriority w:val="99"/>
    <w:semiHidden/>
    <w:rsid w:val="001E2CE1"/>
    <w:rPr>
      <w:b/>
      <w:bCs/>
      <w:sz w:val="20"/>
      <w:szCs w:val="20"/>
    </w:rPr>
  </w:style>
  <w:style w:type="character" w:styleId="Hyperlink">
    <w:name w:val="Hyperlink"/>
    <w:basedOn w:val="Standardskrifttypeiafsnit"/>
    <w:uiPriority w:val="99"/>
    <w:unhideWhenUsed/>
    <w:rsid w:val="002B3258"/>
    <w:rPr>
      <w:color w:val="0563C1" w:themeColor="hyperlink"/>
      <w:u w:val="single"/>
    </w:rPr>
  </w:style>
  <w:style w:type="character" w:customStyle="1" w:styleId="Overskrift3Tegn">
    <w:name w:val="Overskrift 3 Tegn"/>
    <w:basedOn w:val="Standardskrifttypeiafsnit"/>
    <w:link w:val="Overskrift3"/>
    <w:uiPriority w:val="9"/>
    <w:semiHidden/>
    <w:rsid w:val="00F307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Documents\Brugerdefinerede%20Office-skabeloner\SAS%20Skabe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tiliumwebbold"/>
        <a:ea typeface=""/>
        <a:cs typeface=""/>
      </a:majorFont>
      <a:minorFont>
        <a:latin typeface="Titliumwe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D2FB-8FD2-4775-845E-250F38C7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SAS Skabelon</Template>
  <TotalTime>0</TotalTime>
  <Pages>2</Pages>
  <Words>555</Words>
  <Characters>3386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Sorø Akademis Skole</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Michaelsen Petersen</dc:creator>
  <cp:keywords/>
  <dc:description/>
  <cp:lastModifiedBy>Ann Furholt Pedersen</cp:lastModifiedBy>
  <cp:revision>2</cp:revision>
  <cp:lastPrinted>2017-12-06T11:24:00Z</cp:lastPrinted>
  <dcterms:created xsi:type="dcterms:W3CDTF">2020-01-27T10:46:00Z</dcterms:created>
  <dcterms:modified xsi:type="dcterms:W3CDTF">2020-01-27T10:46:00Z</dcterms:modified>
</cp:coreProperties>
</file>